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36356" w14:textId="0D3D5128" w:rsidR="00357662" w:rsidRDefault="008475F3" w:rsidP="008475F3">
      <w:pPr>
        <w:pStyle w:val="Heading1"/>
      </w:pPr>
      <w:r>
        <w:t xml:space="preserve">Summary of Comments and DWD-DET's Responses – </w:t>
      </w:r>
      <w:r w:rsidR="00BC5DAB" w:rsidRPr="00BC5DAB">
        <w:t>2.8 One-Stop Delivery System and Job Center Certification</w:t>
      </w:r>
    </w:p>
    <w:p w14:paraId="48E7549B" w14:textId="559B8EC6" w:rsidR="008475F3" w:rsidRPr="001D5D98" w:rsidRDefault="008475F3" w:rsidP="008475F3">
      <w:pPr>
        <w:rPr>
          <w:rFonts w:asciiTheme="minorHAnsi" w:hAnsiTheme="minorHAnsi" w:cstheme="minorHAnsi"/>
          <w:sz w:val="18"/>
          <w:szCs w:val="18"/>
        </w:rPr>
      </w:pPr>
      <w:r w:rsidRPr="001D5D98">
        <w:rPr>
          <w:rFonts w:asciiTheme="minorHAnsi" w:hAnsiTheme="minorHAnsi" w:cstheme="minorHAnsi"/>
          <w:sz w:val="18"/>
          <w:szCs w:val="18"/>
        </w:rPr>
        <w:t xml:space="preserve">Policy Effective </w:t>
      </w:r>
      <w:r w:rsidR="006A5589">
        <w:rPr>
          <w:rFonts w:asciiTheme="minorHAnsi" w:hAnsiTheme="minorHAnsi" w:cstheme="minorHAnsi"/>
          <w:sz w:val="18"/>
          <w:szCs w:val="18"/>
        </w:rPr>
        <w:t>7/1/2024</w:t>
      </w:r>
    </w:p>
    <w:p w14:paraId="6B7E4242" w14:textId="77777777" w:rsidR="006055CB" w:rsidRDefault="006055CB" w:rsidP="008475F3">
      <w:pPr>
        <w:pStyle w:val="Heading2"/>
      </w:pPr>
    </w:p>
    <w:p w14:paraId="56251C53" w14:textId="6516E570" w:rsidR="008475F3" w:rsidRPr="00BC5DAB" w:rsidRDefault="001D6982" w:rsidP="00BC5DAB">
      <w:pPr>
        <w:pStyle w:val="ListParagraph"/>
        <w:numPr>
          <w:ilvl w:val="0"/>
          <w:numId w:val="4"/>
        </w:numPr>
      </w:pPr>
      <w:r>
        <w:rPr>
          <w:rFonts w:asciiTheme="majorHAnsi" w:eastAsiaTheme="majorEastAsia" w:hAnsiTheme="majorHAnsi" w:cstheme="majorBidi"/>
          <w:color w:val="365F91" w:themeColor="accent1" w:themeShade="BF"/>
          <w:sz w:val="26"/>
          <w:szCs w:val="26"/>
        </w:rPr>
        <w:t>A</w:t>
      </w:r>
      <w:r w:rsidR="00BC5DAB">
        <w:rPr>
          <w:rFonts w:asciiTheme="majorHAnsi" w:eastAsiaTheme="majorEastAsia" w:hAnsiTheme="majorHAnsi" w:cstheme="majorBidi"/>
          <w:color w:val="365F91" w:themeColor="accent1" w:themeShade="BF"/>
          <w:sz w:val="26"/>
          <w:szCs w:val="26"/>
        </w:rPr>
        <w:t xml:space="preserve"> comment stated the</w:t>
      </w:r>
      <w:r w:rsidR="00630D2E">
        <w:rPr>
          <w:rFonts w:asciiTheme="majorHAnsi" w:eastAsiaTheme="majorEastAsia" w:hAnsiTheme="majorHAnsi" w:cstheme="majorBidi"/>
          <w:color w:val="365F91" w:themeColor="accent1" w:themeShade="BF"/>
          <w:sz w:val="26"/>
          <w:szCs w:val="26"/>
        </w:rPr>
        <w:t>re does not appear to be a</w:t>
      </w:r>
      <w:r w:rsidR="00BC5DAB" w:rsidRPr="00BC5DAB">
        <w:rPr>
          <w:rFonts w:asciiTheme="majorHAnsi" w:eastAsiaTheme="majorEastAsia" w:hAnsiTheme="majorHAnsi" w:cstheme="majorBidi"/>
          <w:color w:val="365F91" w:themeColor="accent1" w:themeShade="BF"/>
          <w:sz w:val="26"/>
          <w:szCs w:val="26"/>
        </w:rPr>
        <w:t xml:space="preserve"> </w:t>
      </w:r>
      <w:r w:rsidR="00630D2E">
        <w:rPr>
          <w:rFonts w:asciiTheme="majorHAnsi" w:eastAsiaTheme="majorEastAsia" w:hAnsiTheme="majorHAnsi" w:cstheme="majorBidi"/>
          <w:color w:val="365F91" w:themeColor="accent1" w:themeShade="BF"/>
          <w:sz w:val="26"/>
          <w:szCs w:val="26"/>
        </w:rPr>
        <w:t>"</w:t>
      </w:r>
      <w:r w:rsidR="00BC5DAB" w:rsidRPr="00BC5DAB">
        <w:rPr>
          <w:rFonts w:asciiTheme="majorHAnsi" w:eastAsiaTheme="majorEastAsia" w:hAnsiTheme="majorHAnsi" w:cstheme="majorBidi"/>
          <w:color w:val="365F91" w:themeColor="accent1" w:themeShade="BF"/>
          <w:sz w:val="26"/>
          <w:szCs w:val="26"/>
        </w:rPr>
        <w:t>Federal basis for the</w:t>
      </w:r>
      <w:r w:rsidR="00630D2E">
        <w:rPr>
          <w:rFonts w:asciiTheme="majorHAnsi" w:eastAsiaTheme="majorEastAsia" w:hAnsiTheme="majorHAnsi" w:cstheme="majorBidi"/>
          <w:color w:val="365F91" w:themeColor="accent1" w:themeShade="BF"/>
          <w:sz w:val="26"/>
          <w:szCs w:val="26"/>
        </w:rPr>
        <w:t>se</w:t>
      </w:r>
      <w:r w:rsidR="00BC5DAB" w:rsidRPr="00BC5DAB">
        <w:rPr>
          <w:rFonts w:asciiTheme="majorHAnsi" w:eastAsiaTheme="majorEastAsia" w:hAnsiTheme="majorHAnsi" w:cstheme="majorBidi"/>
          <w:color w:val="365F91" w:themeColor="accent1" w:themeShade="BF"/>
          <w:sz w:val="26"/>
          <w:szCs w:val="26"/>
        </w:rPr>
        <w:t xml:space="preserve"> updates</w:t>
      </w:r>
      <w:r w:rsidR="00BC5DAB">
        <w:rPr>
          <w:rFonts w:asciiTheme="majorHAnsi" w:eastAsiaTheme="majorEastAsia" w:hAnsiTheme="majorHAnsi" w:cstheme="majorBidi"/>
          <w:color w:val="365F91" w:themeColor="accent1" w:themeShade="BF"/>
          <w:sz w:val="26"/>
          <w:szCs w:val="26"/>
        </w:rPr>
        <w:t>.</w:t>
      </w:r>
      <w:r w:rsidR="00630D2E">
        <w:rPr>
          <w:rFonts w:asciiTheme="majorHAnsi" w:eastAsiaTheme="majorEastAsia" w:hAnsiTheme="majorHAnsi" w:cstheme="majorBidi"/>
          <w:color w:val="365F91" w:themeColor="accent1" w:themeShade="BF"/>
          <w:sz w:val="26"/>
          <w:szCs w:val="26"/>
        </w:rPr>
        <w:t>"</w:t>
      </w:r>
    </w:p>
    <w:p w14:paraId="70F1A5FF" w14:textId="77777777" w:rsidR="00BC5DAB" w:rsidRDefault="00BC5DAB" w:rsidP="00270E96"/>
    <w:p w14:paraId="209A27DD" w14:textId="6E7D8888" w:rsidR="008475F3" w:rsidRPr="00421EAC" w:rsidRDefault="00421EAC" w:rsidP="00FF30B4">
      <w:pPr>
        <w:ind w:left="720"/>
        <w:rPr>
          <w:rFonts w:cs="Arial"/>
          <w:szCs w:val="22"/>
        </w:rPr>
      </w:pPr>
      <w:r w:rsidRPr="00421EAC">
        <w:rPr>
          <w:rFonts w:cs="Arial"/>
          <w:szCs w:val="22"/>
        </w:rPr>
        <w:t xml:space="preserve">Federal regulation </w:t>
      </w:r>
      <w:hyperlink r:id="rId5" w:history="1">
        <w:r w:rsidRPr="00421EAC">
          <w:rPr>
            <w:rStyle w:val="Hyperlink"/>
            <w:rFonts w:cs="Arial"/>
            <w:color w:val="0000CC"/>
            <w:szCs w:val="22"/>
            <w:shd w:val="clear" w:color="auto" w:fill="FFFFFF"/>
          </w:rPr>
          <w:t>20 CFR</w:t>
        </w:r>
        <w:r w:rsidR="00373E34">
          <w:rPr>
            <w:rStyle w:val="Hyperlink"/>
            <w:rFonts w:cs="Arial"/>
            <w:color w:val="0000CC"/>
            <w:szCs w:val="22"/>
            <w:shd w:val="clear" w:color="auto" w:fill="FFFFFF"/>
          </w:rPr>
          <w:t xml:space="preserve"> </w:t>
        </w:r>
        <w:r w:rsidR="00373E34" w:rsidRPr="00373E34">
          <w:rPr>
            <w:rStyle w:val="Hyperlink"/>
            <w:rFonts w:cs="Arial"/>
            <w:color w:val="0000CC"/>
            <w:szCs w:val="22"/>
            <w:shd w:val="clear" w:color="auto" w:fill="FFFFFF"/>
          </w:rPr>
          <w:t>§</w:t>
        </w:r>
        <w:r w:rsidR="00373E34">
          <w:rPr>
            <w:rStyle w:val="Hyperlink"/>
            <w:rFonts w:cs="Arial"/>
            <w:color w:val="0000CC"/>
            <w:szCs w:val="22"/>
            <w:shd w:val="clear" w:color="auto" w:fill="FFFFFF"/>
          </w:rPr>
          <w:t xml:space="preserve"> </w:t>
        </w:r>
        <w:r w:rsidRPr="00421EAC">
          <w:rPr>
            <w:rStyle w:val="Hyperlink"/>
            <w:rFonts w:cs="Arial"/>
            <w:color w:val="0000CC"/>
            <w:szCs w:val="22"/>
            <w:shd w:val="clear" w:color="auto" w:fill="FFFFFF"/>
          </w:rPr>
          <w:t>678.800(a)</w:t>
        </w:r>
      </w:hyperlink>
      <w:r w:rsidRPr="00421EAC">
        <w:rPr>
          <w:rFonts w:cs="Arial"/>
          <w:szCs w:val="22"/>
        </w:rPr>
        <w:t xml:space="preserve"> states:</w:t>
      </w:r>
    </w:p>
    <w:p w14:paraId="464DB969" w14:textId="77777777" w:rsidR="00421EAC" w:rsidRPr="00421EAC" w:rsidRDefault="00421EAC" w:rsidP="00FF30B4">
      <w:pPr>
        <w:ind w:left="720"/>
        <w:rPr>
          <w:rFonts w:cs="Arial"/>
          <w:szCs w:val="22"/>
        </w:rPr>
      </w:pPr>
    </w:p>
    <w:p w14:paraId="44A251B6" w14:textId="2F31A5CF" w:rsidR="00421EAC" w:rsidRDefault="00421EAC" w:rsidP="00FF30B4">
      <w:pPr>
        <w:pStyle w:val="indent-1"/>
        <w:numPr>
          <w:ilvl w:val="0"/>
          <w:numId w:val="5"/>
        </w:numPr>
        <w:spacing w:before="0" w:beforeAutospacing="0" w:after="0" w:afterAutospacing="0"/>
        <w:rPr>
          <w:rFonts w:ascii="Arial" w:hAnsi="Arial" w:cs="Arial"/>
          <w:sz w:val="22"/>
          <w:szCs w:val="22"/>
        </w:rPr>
      </w:pPr>
      <w:r w:rsidRPr="00421EAC">
        <w:rPr>
          <w:rFonts w:ascii="Arial" w:hAnsi="Arial" w:cs="Arial"/>
          <w:sz w:val="22"/>
          <w:szCs w:val="22"/>
        </w:rPr>
        <w:t>The State WDB, in consultation with chief elected officials and Local WDBs, must establish objective criteria and procedures for Local WDBs to use when certifying one-stop centers.</w:t>
      </w:r>
    </w:p>
    <w:p w14:paraId="3F22A571" w14:textId="77777777" w:rsidR="00FF30B4" w:rsidRPr="00421EAC" w:rsidRDefault="00FF30B4" w:rsidP="00FF30B4">
      <w:pPr>
        <w:pStyle w:val="indent-1"/>
        <w:spacing w:before="0" w:beforeAutospacing="0" w:after="0" w:afterAutospacing="0"/>
        <w:ind w:left="1260"/>
        <w:rPr>
          <w:rFonts w:ascii="Arial" w:hAnsi="Arial" w:cs="Arial"/>
          <w:sz w:val="22"/>
          <w:szCs w:val="22"/>
        </w:rPr>
      </w:pPr>
    </w:p>
    <w:p w14:paraId="22258371" w14:textId="554E4884" w:rsidR="00421EAC" w:rsidRDefault="00421EAC" w:rsidP="00FF30B4">
      <w:pPr>
        <w:pStyle w:val="indent-2"/>
        <w:numPr>
          <w:ilvl w:val="0"/>
          <w:numId w:val="6"/>
        </w:numPr>
        <w:spacing w:before="0" w:beforeAutospacing="0" w:after="0" w:afterAutospacing="0"/>
        <w:rPr>
          <w:rFonts w:ascii="Arial" w:hAnsi="Arial" w:cs="Arial"/>
          <w:sz w:val="22"/>
          <w:szCs w:val="22"/>
        </w:rPr>
      </w:pPr>
      <w:r w:rsidRPr="00421EAC">
        <w:rPr>
          <w:rFonts w:ascii="Arial" w:hAnsi="Arial" w:cs="Arial"/>
          <w:sz w:val="22"/>
          <w:szCs w:val="22"/>
        </w:rPr>
        <w:t xml:space="preserve">The State WDB, in consultation with chief elected officials and Local WDBs, must review and update the criteria every 2 years as part of the review and modification of State Plans pursuant to </w:t>
      </w:r>
      <w:hyperlink r:id="rId6" w:history="1">
        <w:r w:rsidRPr="00421EAC">
          <w:rPr>
            <w:rStyle w:val="Hyperlink"/>
            <w:rFonts w:ascii="Arial" w:hAnsi="Arial" w:cs="Arial"/>
            <w:sz w:val="22"/>
            <w:szCs w:val="22"/>
          </w:rPr>
          <w:t>§ 676.135 of this chapter</w:t>
        </w:r>
      </w:hyperlink>
      <w:r w:rsidRPr="00421EAC">
        <w:rPr>
          <w:rFonts w:ascii="Arial" w:hAnsi="Arial" w:cs="Arial"/>
          <w:sz w:val="22"/>
          <w:szCs w:val="22"/>
        </w:rPr>
        <w:t>.</w:t>
      </w:r>
    </w:p>
    <w:p w14:paraId="0DD591FD" w14:textId="77777777" w:rsidR="00FF30B4" w:rsidRPr="00421EAC" w:rsidRDefault="00FF30B4" w:rsidP="00FF30B4">
      <w:pPr>
        <w:pStyle w:val="indent-2"/>
        <w:spacing w:before="0" w:beforeAutospacing="0" w:after="0" w:afterAutospacing="0"/>
        <w:ind w:left="1440"/>
        <w:rPr>
          <w:rFonts w:ascii="Arial" w:hAnsi="Arial" w:cs="Arial"/>
          <w:sz w:val="22"/>
          <w:szCs w:val="22"/>
        </w:rPr>
      </w:pPr>
    </w:p>
    <w:p w14:paraId="4E763568" w14:textId="75D0DF1F" w:rsidR="00421EAC" w:rsidRPr="00421EAC" w:rsidRDefault="00421EAC" w:rsidP="00FF30B4">
      <w:pPr>
        <w:pStyle w:val="indent-2"/>
        <w:spacing w:before="0" w:beforeAutospacing="0" w:after="0" w:afterAutospacing="0"/>
        <w:ind w:left="1080"/>
        <w:rPr>
          <w:rFonts w:ascii="Arial" w:hAnsi="Arial" w:cs="Arial"/>
          <w:sz w:val="22"/>
          <w:szCs w:val="22"/>
        </w:rPr>
      </w:pPr>
      <w:r w:rsidRPr="00421EAC">
        <w:rPr>
          <w:rStyle w:val="paren"/>
          <w:rFonts w:ascii="Arial" w:hAnsi="Arial" w:cs="Arial"/>
          <w:sz w:val="22"/>
          <w:szCs w:val="22"/>
        </w:rPr>
        <w:t>(</w:t>
      </w:r>
      <w:r w:rsidRPr="00421EAC">
        <w:rPr>
          <w:rStyle w:val="paragraph-hierarchy"/>
          <w:rFonts w:ascii="Arial" w:eastAsiaTheme="majorEastAsia" w:hAnsi="Arial" w:cs="Arial"/>
          <w:sz w:val="22"/>
          <w:szCs w:val="22"/>
        </w:rPr>
        <w:t>2</w:t>
      </w:r>
      <w:r w:rsidRPr="00421EAC">
        <w:rPr>
          <w:rStyle w:val="paren"/>
          <w:rFonts w:ascii="Arial" w:hAnsi="Arial" w:cs="Arial"/>
          <w:sz w:val="22"/>
          <w:szCs w:val="22"/>
        </w:rPr>
        <w:t>)</w:t>
      </w:r>
      <w:r w:rsidRPr="00421EAC">
        <w:rPr>
          <w:rFonts w:ascii="Arial" w:hAnsi="Arial" w:cs="Arial"/>
          <w:sz w:val="22"/>
          <w:szCs w:val="22"/>
        </w:rPr>
        <w:t xml:space="preserve"> The criteria must be consistent with the Governor's and State WDB's guidelines, guidance, and policies on infrastructure funding decisions, described in </w:t>
      </w:r>
      <w:hyperlink r:id="rId7" w:history="1">
        <w:r w:rsidRPr="00421EAC">
          <w:rPr>
            <w:rStyle w:val="Hyperlink"/>
            <w:rFonts w:ascii="Arial" w:hAnsi="Arial" w:cs="Arial"/>
            <w:sz w:val="22"/>
            <w:szCs w:val="22"/>
          </w:rPr>
          <w:t>§ 678.705</w:t>
        </w:r>
      </w:hyperlink>
      <w:r w:rsidRPr="00421EAC">
        <w:rPr>
          <w:rFonts w:ascii="Arial" w:hAnsi="Arial" w:cs="Arial"/>
          <w:sz w:val="22"/>
          <w:szCs w:val="22"/>
        </w:rPr>
        <w:t>. The criteria must evaluate the one-stop centers and one-stop delivery system for effectiveness, including customer satisfaction, physical and programmatic accessibility, and continuous improvement.</w:t>
      </w:r>
    </w:p>
    <w:p w14:paraId="5CB5E237" w14:textId="77777777" w:rsidR="00421EAC" w:rsidRPr="008475F3" w:rsidRDefault="00421EAC" w:rsidP="00E6534D">
      <w:pPr>
        <w:ind w:left="720"/>
      </w:pPr>
    </w:p>
    <w:p w14:paraId="2688DF89" w14:textId="5EC19FD6" w:rsidR="008475F3" w:rsidRDefault="00BC5DAB" w:rsidP="00BC5DAB">
      <w:pPr>
        <w:pStyle w:val="Heading2"/>
        <w:numPr>
          <w:ilvl w:val="0"/>
          <w:numId w:val="4"/>
        </w:numPr>
      </w:pPr>
      <w:r>
        <w:t>"</w:t>
      </w:r>
      <w:r w:rsidRPr="00BC5DAB">
        <w:t>Can you clarify that the Workforce Development Boards do not have the responsibility to assess service locations of core partners who have co-located in separate locations from Title 1? If this is accurate, what other job centers would WDBs be required to recertify?</w:t>
      </w:r>
      <w:r>
        <w:t>"</w:t>
      </w:r>
    </w:p>
    <w:p w14:paraId="3842C2C1" w14:textId="77777777" w:rsidR="00F77BCD" w:rsidRDefault="00F77BCD" w:rsidP="00F77BCD"/>
    <w:p w14:paraId="3F2C7DFC" w14:textId="3DB2CB75" w:rsidR="00743278" w:rsidRPr="00230816" w:rsidRDefault="00CA7DD0" w:rsidP="00373E34">
      <w:pPr>
        <w:ind w:left="720"/>
        <w:rPr>
          <w:rFonts w:asciiTheme="minorHAnsi" w:hAnsiTheme="minorHAnsi" w:cstheme="minorHAnsi"/>
        </w:rPr>
      </w:pPr>
      <w:r>
        <w:t>To clarify the requirement, t</w:t>
      </w:r>
      <w:r w:rsidR="00F77BCD">
        <w:t>he policy has bee</w:t>
      </w:r>
      <w:r>
        <w:t>n</w:t>
      </w:r>
      <w:r w:rsidR="00F77BCD">
        <w:t xml:space="preserve"> updated to include only comprehensive and affiliate job centers as defined in </w:t>
      </w:r>
      <w:hyperlink r:id="rId8" w:anchor="sectionThree" w:history="1">
        <w:r w:rsidR="00D362C6">
          <w:rPr>
            <w:rStyle w:val="Hyperlink"/>
          </w:rPr>
          <w:t>WIOA Title I-A &amp; I-B Policy &amp; Procedure Manual, Ch. 2.2.3</w:t>
        </w:r>
      </w:hyperlink>
      <w:r w:rsidR="00D362C6">
        <w:t>.</w:t>
      </w:r>
    </w:p>
    <w:p w14:paraId="2D9B7B41" w14:textId="40D449D3" w:rsidR="00B37061" w:rsidRDefault="00B37061" w:rsidP="00392732">
      <w:pPr>
        <w:rPr>
          <w:rFonts w:asciiTheme="minorHAnsi" w:hAnsiTheme="minorHAnsi" w:cstheme="minorHAnsi"/>
          <w:szCs w:val="22"/>
        </w:rPr>
      </w:pPr>
    </w:p>
    <w:p w14:paraId="2B20FBFF" w14:textId="451DBF97" w:rsidR="00B37061" w:rsidRDefault="00BC5DAB" w:rsidP="00BC5DAB">
      <w:pPr>
        <w:pStyle w:val="Heading2"/>
        <w:numPr>
          <w:ilvl w:val="0"/>
          <w:numId w:val="4"/>
        </w:numPr>
      </w:pPr>
      <w:r>
        <w:t>"</w:t>
      </w:r>
      <w:r w:rsidRPr="00BC5DAB">
        <w:t>The local WDBs do not have the authority to require partners, including DWD, to provide services outside of regular hours. Historically, many boards have struggled to get meaningful participation in after-hour events, so we would recommend that this example be removed.</w:t>
      </w:r>
      <w:r>
        <w:t>"</w:t>
      </w:r>
    </w:p>
    <w:p w14:paraId="56507F2D" w14:textId="77777777" w:rsidR="005D35A8" w:rsidRDefault="005D35A8" w:rsidP="005D35A8"/>
    <w:p w14:paraId="518D2602" w14:textId="31CA725C" w:rsidR="005D35A8" w:rsidRDefault="005D35A8" w:rsidP="005D35A8">
      <w:pPr>
        <w:ind w:left="720"/>
      </w:pPr>
      <w:r>
        <w:t xml:space="preserve">DWD-DET acknowledges </w:t>
      </w:r>
      <w:r w:rsidR="00DE6E5B">
        <w:t xml:space="preserve">that </w:t>
      </w:r>
      <w:r>
        <w:t xml:space="preserve">providing services outside of regular </w:t>
      </w:r>
      <w:r w:rsidR="00B50801">
        <w:t xml:space="preserve">business </w:t>
      </w:r>
      <w:r>
        <w:t>hours can be challenging</w:t>
      </w:r>
      <w:r w:rsidR="00B50801">
        <w:t xml:space="preserve">; therefore, this is a recommendation not a requirement. The local Workforce Development Board (WDB) should work in conjunction with </w:t>
      </w:r>
      <w:r w:rsidR="004E4BF9">
        <w:t xml:space="preserve">its </w:t>
      </w:r>
      <w:r w:rsidR="00B50801">
        <w:t xml:space="preserve">Job Center partners to assess the </w:t>
      </w:r>
      <w:r w:rsidR="00397FBC">
        <w:t>public's</w:t>
      </w:r>
      <w:r w:rsidR="00B50801">
        <w:t xml:space="preserve"> need for extended hours. </w:t>
      </w:r>
    </w:p>
    <w:p w14:paraId="341A18CB" w14:textId="77777777" w:rsidR="00A04000" w:rsidRDefault="00A04000" w:rsidP="005D35A8">
      <w:pPr>
        <w:ind w:left="720"/>
      </w:pPr>
    </w:p>
    <w:p w14:paraId="7AA54AFE" w14:textId="1AAAC4F3" w:rsidR="00A04000" w:rsidRDefault="006A5589" w:rsidP="005D35A8">
      <w:pPr>
        <w:ind w:left="720"/>
      </w:pPr>
      <w:hyperlink r:id="rId9" w:anchor="sectionThree" w:history="1">
        <w:r w:rsidR="00397FBC">
          <w:rPr>
            <w:rStyle w:val="Hyperlink"/>
          </w:rPr>
          <w:t>WIOA Title I-A &amp; I-B Policy &amp; Procedure Manual, Ch. 2.2.3</w:t>
        </w:r>
      </w:hyperlink>
      <w:r w:rsidR="00397FBC">
        <w:t xml:space="preserve"> states, "</w:t>
      </w:r>
      <w:r w:rsidR="00397FBC" w:rsidRPr="00397FBC">
        <w:t>Hours of operation should be negotiated as part of the one-stop delivery system MOU development process, and should be documented in the MOU.</w:t>
      </w:r>
      <w:r w:rsidR="00397FBC">
        <w:t>"</w:t>
      </w:r>
    </w:p>
    <w:p w14:paraId="397C07C9" w14:textId="77777777" w:rsidR="003759CA" w:rsidRDefault="003759CA" w:rsidP="003759CA"/>
    <w:p w14:paraId="46490A8D" w14:textId="02980908" w:rsidR="003759CA" w:rsidRDefault="001D6982" w:rsidP="003759CA">
      <w:pPr>
        <w:pStyle w:val="Heading2"/>
        <w:numPr>
          <w:ilvl w:val="0"/>
          <w:numId w:val="4"/>
        </w:numPr>
      </w:pPr>
      <w:r>
        <w:t>"</w:t>
      </w:r>
      <w:r w:rsidR="003759CA">
        <w:t>T</w:t>
      </w:r>
      <w:r w:rsidR="003759CA" w:rsidRPr="003759CA">
        <w:t xml:space="preserve">he text of Section 2.8.2 also allows for local WDBs </w:t>
      </w:r>
      <w:r w:rsidR="003759CA" w:rsidRPr="003759CA">
        <w:t xml:space="preserve">to </w:t>
      </w:r>
      <w:r w:rsidR="00F72B5D">
        <w:t>'</w:t>
      </w:r>
      <w:r w:rsidR="003759CA" w:rsidRPr="003759CA">
        <w:t>develop additional criteria or set higher standards</w:t>
      </w:r>
      <w:r w:rsidR="00F72B5D">
        <w:t xml:space="preserve">' </w:t>
      </w:r>
      <w:r w:rsidR="003759CA" w:rsidRPr="003759CA">
        <w:t xml:space="preserve">which </w:t>
      </w:r>
      <w:r w:rsidR="00F72B5D">
        <w:t>'</w:t>
      </w:r>
      <w:r w:rsidR="003759CA" w:rsidRPr="003759CA">
        <w:t>must be included in the WIOA Local Plan.</w:t>
      </w:r>
      <w:r w:rsidR="00F72B5D">
        <w:t>'</w:t>
      </w:r>
      <w:r w:rsidR="003759CA" w:rsidRPr="003759CA">
        <w:t xml:space="preserve"> With local planning now wrapping up, what is the proposed timeline for boards that may want to make more immediate changes due to the creation of this policy?</w:t>
      </w:r>
      <w:r w:rsidR="003759CA">
        <w:t>"</w:t>
      </w:r>
    </w:p>
    <w:p w14:paraId="32CBDFCF" w14:textId="77777777" w:rsidR="00281097" w:rsidRDefault="00281097" w:rsidP="00281097"/>
    <w:p w14:paraId="219BFEED" w14:textId="0C16F13D" w:rsidR="00281097" w:rsidRDefault="00281097" w:rsidP="00281097">
      <w:pPr>
        <w:ind w:left="720"/>
      </w:pPr>
      <w:r>
        <w:t xml:space="preserve">Please see </w:t>
      </w:r>
      <w:hyperlink r:id="rId10" w:anchor="sectionThree" w:history="1">
        <w:r w:rsidRPr="0022303A">
          <w:rPr>
            <w:rStyle w:val="Hyperlink"/>
          </w:rPr>
          <w:t>WIOA Title I-A &amp; I-B Policy &amp; Procedure Manual, Ch. 1.5.3</w:t>
        </w:r>
      </w:hyperlink>
      <w:r>
        <w:t xml:space="preserve">, </w:t>
      </w:r>
      <w:r w:rsidR="00FF30B4">
        <w:t xml:space="preserve">for </w:t>
      </w:r>
      <w:r>
        <w:t xml:space="preserve">further clarification on when </w:t>
      </w:r>
      <w:r w:rsidR="0022303A">
        <w:t>l</w:t>
      </w:r>
      <w:r>
        <w:t xml:space="preserve">ocal </w:t>
      </w:r>
      <w:r w:rsidR="0022303A">
        <w:t>p</w:t>
      </w:r>
      <w:r>
        <w:t xml:space="preserve">lans are required to be modified. </w:t>
      </w:r>
      <w:r w:rsidR="00F559F5">
        <w:t>Also, t</w:t>
      </w:r>
      <w:r>
        <w:t>he local WDB has the flexibility to modify their local plan at any time.</w:t>
      </w:r>
    </w:p>
    <w:p w14:paraId="3918454B" w14:textId="77777777" w:rsidR="00281097" w:rsidRDefault="00281097" w:rsidP="00281097">
      <w:pPr>
        <w:ind w:left="720"/>
      </w:pPr>
    </w:p>
    <w:p w14:paraId="7CA425C6" w14:textId="732714E7" w:rsidR="00CB3422" w:rsidRDefault="00281097" w:rsidP="00281097">
      <w:pPr>
        <w:ind w:left="720"/>
      </w:pPr>
      <w:r>
        <w:t>The next scheduled two-year modification will be in 2026.</w:t>
      </w:r>
    </w:p>
    <w:p w14:paraId="369CD0CA" w14:textId="390295AC" w:rsidR="00D366AC" w:rsidRDefault="00D366AC" w:rsidP="00D366AC"/>
    <w:p w14:paraId="3334BB7B" w14:textId="2DA02A8A" w:rsidR="00D366AC" w:rsidRDefault="00BC5DAB" w:rsidP="00BC5DAB">
      <w:pPr>
        <w:pStyle w:val="Heading2"/>
        <w:numPr>
          <w:ilvl w:val="0"/>
          <w:numId w:val="4"/>
        </w:numPr>
      </w:pPr>
      <w:r>
        <w:lastRenderedPageBreak/>
        <w:t>"</w:t>
      </w:r>
      <w:r w:rsidRPr="00BC5DAB">
        <w:t>Can you further expand on the reason for the seven-day public notice period? This additional level of administrative burden and associated cost is concerning.</w:t>
      </w:r>
      <w:r>
        <w:t>"</w:t>
      </w:r>
    </w:p>
    <w:p w14:paraId="061A298C" w14:textId="77777777" w:rsidR="0085446C" w:rsidRDefault="0085446C" w:rsidP="0085446C"/>
    <w:p w14:paraId="283E18D0" w14:textId="334CCF9F" w:rsidR="0085446C" w:rsidRDefault="0085446C" w:rsidP="0085446C">
      <w:pPr>
        <w:ind w:left="720"/>
      </w:pPr>
      <w:r>
        <w:t xml:space="preserve">In the interest of keeping the public informed of changes to </w:t>
      </w:r>
      <w:r w:rsidR="00F559F5">
        <w:t xml:space="preserve">their </w:t>
      </w:r>
      <w:r>
        <w:t xml:space="preserve">local Job Centers, DWD-DET has made the decision a seven-day notice period is appropriate. </w:t>
      </w:r>
    </w:p>
    <w:p w14:paraId="217271DC" w14:textId="77777777" w:rsidR="0085446C" w:rsidRDefault="0085446C" w:rsidP="0085446C">
      <w:pPr>
        <w:ind w:left="720"/>
      </w:pPr>
    </w:p>
    <w:p w14:paraId="56A6D5D0" w14:textId="1E7ACEAB" w:rsidR="0085446C" w:rsidRPr="0085446C" w:rsidRDefault="00C26AC5" w:rsidP="00C26AC5">
      <w:pPr>
        <w:ind w:left="720"/>
      </w:pPr>
      <w:r>
        <w:t xml:space="preserve">The local WDB has the ability to disseminate public notices through various channels that incur no costs and impose minimal administrative burdens. This may include posting on social media, attaching a sign on the Job Center entrance, </w:t>
      </w:r>
      <w:r w:rsidR="004E7EE0">
        <w:t>or</w:t>
      </w:r>
      <w:r>
        <w:t xml:space="preserve"> updating the WDB's website.</w:t>
      </w:r>
    </w:p>
    <w:p w14:paraId="7A0A3D42" w14:textId="75DD0023" w:rsidR="009A0221" w:rsidRDefault="009A0221" w:rsidP="00A62387">
      <w:pPr>
        <w:rPr>
          <w:rFonts w:asciiTheme="minorHAnsi" w:hAnsiTheme="minorHAnsi" w:cstheme="minorHAnsi"/>
        </w:rPr>
      </w:pPr>
    </w:p>
    <w:p w14:paraId="3A5B45F6" w14:textId="748CC22D" w:rsidR="009A0221" w:rsidRDefault="000B15C7" w:rsidP="00BC5DAB">
      <w:pPr>
        <w:pStyle w:val="Heading2"/>
        <w:numPr>
          <w:ilvl w:val="0"/>
          <w:numId w:val="4"/>
        </w:numPr>
      </w:pPr>
      <w:r>
        <w:t>"The</w:t>
      </w:r>
      <w:r w:rsidR="001A6860" w:rsidRPr="007B2279">
        <w:t xml:space="preserve"> </w:t>
      </w:r>
      <w:r w:rsidRPr="000B15C7">
        <w:t xml:space="preserve">text of Section 2.8.3 discusses </w:t>
      </w:r>
      <w:r>
        <w:t>'</w:t>
      </w:r>
      <w:r w:rsidRPr="000B15C7">
        <w:t>established local policies and procedures.</w:t>
      </w:r>
      <w:r>
        <w:t xml:space="preserve">' </w:t>
      </w:r>
      <w:r w:rsidRPr="000B15C7">
        <w:t>Are these set by DWD or are they to be created by the local WDB? Can you provide further guidance regarding the timeline for the creation of these policies or critical content components?</w:t>
      </w:r>
      <w:r>
        <w:t>"</w:t>
      </w:r>
    </w:p>
    <w:p w14:paraId="3C6BA923" w14:textId="77777777" w:rsidR="00B528E9" w:rsidRDefault="00B528E9" w:rsidP="00B528E9"/>
    <w:p w14:paraId="10453558" w14:textId="170499C8" w:rsidR="006D5521" w:rsidRDefault="00B528E9" w:rsidP="00B528E9">
      <w:pPr>
        <w:ind w:left="720"/>
      </w:pPr>
      <w:r>
        <w:t>To clarify</w:t>
      </w:r>
      <w:r w:rsidR="00A37E60">
        <w:t xml:space="preserve"> the requirement,</w:t>
      </w:r>
      <w:r>
        <w:t xml:space="preserve"> the policy has been updated to state, "</w:t>
      </w:r>
      <w:r w:rsidRPr="00B528E9">
        <w:t xml:space="preserve">established local policies and procedures, </w:t>
      </w:r>
      <w:r w:rsidRPr="00B528E9">
        <w:rPr>
          <w:b/>
          <w:bCs/>
        </w:rPr>
        <w:t>if applicable</w:t>
      </w:r>
      <w:r w:rsidRPr="00B528E9">
        <w:t>.</w:t>
      </w:r>
      <w:r>
        <w:t>"</w:t>
      </w:r>
    </w:p>
    <w:p w14:paraId="3791B9DA" w14:textId="77777777" w:rsidR="006D5521" w:rsidRDefault="006D5521" w:rsidP="00B528E9">
      <w:pPr>
        <w:ind w:left="720"/>
      </w:pPr>
    </w:p>
    <w:p w14:paraId="590B1C67" w14:textId="443DD82C" w:rsidR="007D288B" w:rsidRDefault="006D5521" w:rsidP="009104AB">
      <w:pPr>
        <w:ind w:left="720"/>
      </w:pPr>
      <w:r>
        <w:t>It is not necessary to create policies and procedure</w:t>
      </w:r>
      <w:r w:rsidR="00A37E60">
        <w:t>s. T</w:t>
      </w:r>
      <w:r>
        <w:t xml:space="preserve">his statement </w:t>
      </w:r>
      <w:r w:rsidR="00A37E60">
        <w:t>is only relevant</w:t>
      </w:r>
      <w:r>
        <w:t xml:space="preserve"> if there are policies and procedures already created.</w:t>
      </w:r>
    </w:p>
    <w:p w14:paraId="68886183" w14:textId="5311D008" w:rsidR="009A0221" w:rsidRDefault="009A0221" w:rsidP="00CE7299"/>
    <w:p w14:paraId="6D669CE5" w14:textId="543DE53A" w:rsidR="009A0221" w:rsidRDefault="009C6710" w:rsidP="00BC5DAB">
      <w:pPr>
        <w:pStyle w:val="Heading2"/>
        <w:numPr>
          <w:ilvl w:val="0"/>
          <w:numId w:val="4"/>
        </w:numPr>
      </w:pPr>
      <w:r>
        <w:t>One comment</w:t>
      </w:r>
      <w:r w:rsidR="00270E96">
        <w:t>er</w:t>
      </w:r>
      <w:r>
        <w:t xml:space="preserve"> </w:t>
      </w:r>
      <w:r w:rsidR="00270E96">
        <w:t xml:space="preserve">addressed </w:t>
      </w:r>
      <w:r>
        <w:t xml:space="preserve">the Job Center Certification </w:t>
      </w:r>
      <w:r w:rsidR="00270E96">
        <w:t>C</w:t>
      </w:r>
      <w:r>
        <w:t>hecklist website accessibility requirements. The commenter stated</w:t>
      </w:r>
      <w:r w:rsidR="00270E96">
        <w:t>,</w:t>
      </w:r>
      <w:r>
        <w:t xml:space="preserve"> </w:t>
      </w:r>
      <w:r w:rsidR="00270E96">
        <w:t>"T</w:t>
      </w:r>
      <w:r>
        <w:t>he</w:t>
      </w:r>
      <w:r w:rsidRPr="009C6710">
        <w:t xml:space="preserve"> Web Content Accessibility Guidelines (WCAG) Version 2.1, Level AA is the technical standard for state and local governments web content and mobile apps.</w:t>
      </w:r>
      <w:r w:rsidR="00270E96">
        <w:t>"</w:t>
      </w:r>
    </w:p>
    <w:p w14:paraId="45788257" w14:textId="77777777" w:rsidR="009659B3" w:rsidRDefault="009659B3" w:rsidP="009659B3"/>
    <w:p w14:paraId="4AD586D9" w14:textId="401488D1" w:rsidR="009659B3" w:rsidRPr="009659B3" w:rsidRDefault="0038242F" w:rsidP="009659B3">
      <w:pPr>
        <w:ind w:left="720"/>
      </w:pPr>
      <w:r>
        <w:t xml:space="preserve">Thank you for the information. DWD-DET and the Council on Workforce Investment (CWI) will take this under consideration during the next Job Center Certification cycle. </w:t>
      </w:r>
    </w:p>
    <w:p w14:paraId="2595DF2F" w14:textId="6AD487EF" w:rsidR="00091C3A" w:rsidRDefault="00091C3A" w:rsidP="00091C3A"/>
    <w:p w14:paraId="3006A9D6" w14:textId="77777777" w:rsidR="009A0221" w:rsidRDefault="009A0221" w:rsidP="009A0221"/>
    <w:p w14:paraId="344877D9" w14:textId="77777777" w:rsidR="00CE7299" w:rsidRPr="00CE7299" w:rsidRDefault="00CE7299" w:rsidP="00CE7299">
      <w:pPr>
        <w:ind w:left="720"/>
      </w:pPr>
    </w:p>
    <w:p w14:paraId="15D17030" w14:textId="1B62D736" w:rsidR="00CE7299" w:rsidRDefault="00CE7299" w:rsidP="00CE7299"/>
    <w:p w14:paraId="39E6EBF0" w14:textId="77777777" w:rsidR="00CE7299" w:rsidRPr="00D366AC" w:rsidRDefault="00CE7299" w:rsidP="00CE7299"/>
    <w:sectPr w:rsidR="00CE7299" w:rsidRPr="00D366AC" w:rsidSect="008475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CDA"/>
    <w:multiLevelType w:val="hybridMultilevel"/>
    <w:tmpl w:val="01C41E7A"/>
    <w:lvl w:ilvl="0" w:tplc="0698496C">
      <w:start w:val="1"/>
      <w:numFmt w:val="decimal"/>
      <w:lvlText w:val="%1."/>
      <w:lvlJc w:val="left"/>
      <w:pPr>
        <w:ind w:left="720" w:hanging="360"/>
      </w:pPr>
      <w:rPr>
        <w:rFonts w:asciiTheme="majorHAnsi" w:eastAsiaTheme="majorEastAsia" w:hAnsiTheme="majorHAnsi" w:cstheme="majorBidi" w:hint="default"/>
        <w:color w:val="365F91" w:themeColor="accent1" w:themeShade="BF"/>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D26F2D"/>
    <w:multiLevelType w:val="hybridMultilevel"/>
    <w:tmpl w:val="3C6EB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646D89"/>
    <w:multiLevelType w:val="hybridMultilevel"/>
    <w:tmpl w:val="67EE8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09543C"/>
    <w:multiLevelType w:val="hybridMultilevel"/>
    <w:tmpl w:val="1368D1A8"/>
    <w:lvl w:ilvl="0" w:tplc="0172EFE0">
      <w:start w:val="1"/>
      <w:numFmt w:val="decimal"/>
      <w:lvlText w:val="(%1)"/>
      <w:lvlJc w:val="left"/>
      <w:pPr>
        <w:ind w:left="1440" w:hanging="360"/>
      </w:pPr>
      <w:rPr>
        <w:rFonts w:eastAsiaTheme="majorEastAs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1763D1D"/>
    <w:multiLevelType w:val="hybridMultilevel"/>
    <w:tmpl w:val="34ECB616"/>
    <w:lvl w:ilvl="0" w:tplc="735039FE">
      <w:start w:val="1"/>
      <w:numFmt w:val="lowerLetter"/>
      <w:lvlText w:val="%1)"/>
      <w:lvlJc w:val="left"/>
      <w:pPr>
        <w:ind w:left="1260" w:hanging="360"/>
      </w:pPr>
      <w:rPr>
        <w:rFonts w:eastAsiaTheme="majorEastAsia"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758947D9"/>
    <w:multiLevelType w:val="hybridMultilevel"/>
    <w:tmpl w:val="66DA3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8603645">
    <w:abstractNumId w:val="5"/>
  </w:num>
  <w:num w:numId="2" w16cid:durableId="448478705">
    <w:abstractNumId w:val="2"/>
  </w:num>
  <w:num w:numId="3" w16cid:durableId="208225066">
    <w:abstractNumId w:val="1"/>
  </w:num>
  <w:num w:numId="4" w16cid:durableId="138426745">
    <w:abstractNumId w:val="0"/>
  </w:num>
  <w:num w:numId="5" w16cid:durableId="872109176">
    <w:abstractNumId w:val="4"/>
  </w:num>
  <w:num w:numId="6" w16cid:durableId="1070808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Y0M7Q0MrM0MLM0MTJU0lEKTi0uzszPAykwrQUAJxdOzSwAAAA="/>
  </w:docVars>
  <w:rsids>
    <w:rsidRoot w:val="008475F3"/>
    <w:rsid w:val="00091C3A"/>
    <w:rsid w:val="000B15C7"/>
    <w:rsid w:val="000C1C23"/>
    <w:rsid w:val="000E11F7"/>
    <w:rsid w:val="00112F64"/>
    <w:rsid w:val="001A6860"/>
    <w:rsid w:val="001D5D98"/>
    <w:rsid w:val="001D6982"/>
    <w:rsid w:val="001D7AA2"/>
    <w:rsid w:val="0022303A"/>
    <w:rsid w:val="00230816"/>
    <w:rsid w:val="00270E96"/>
    <w:rsid w:val="00280317"/>
    <w:rsid w:val="00281097"/>
    <w:rsid w:val="002E4F3E"/>
    <w:rsid w:val="00357662"/>
    <w:rsid w:val="00373E34"/>
    <w:rsid w:val="003759CA"/>
    <w:rsid w:val="0038242F"/>
    <w:rsid w:val="00392732"/>
    <w:rsid w:val="00397FBC"/>
    <w:rsid w:val="0040309B"/>
    <w:rsid w:val="00415E48"/>
    <w:rsid w:val="00421EAC"/>
    <w:rsid w:val="00422B50"/>
    <w:rsid w:val="00455E43"/>
    <w:rsid w:val="004B12C1"/>
    <w:rsid w:val="004B409B"/>
    <w:rsid w:val="004C48E1"/>
    <w:rsid w:val="004E4BF9"/>
    <w:rsid w:val="004E7EE0"/>
    <w:rsid w:val="005053BA"/>
    <w:rsid w:val="00540D7C"/>
    <w:rsid w:val="005D35A8"/>
    <w:rsid w:val="006055CB"/>
    <w:rsid w:val="00630D2E"/>
    <w:rsid w:val="00673445"/>
    <w:rsid w:val="006A242B"/>
    <w:rsid w:val="006A5589"/>
    <w:rsid w:val="006D1016"/>
    <w:rsid w:val="006D5521"/>
    <w:rsid w:val="006E0D18"/>
    <w:rsid w:val="00743278"/>
    <w:rsid w:val="00766E96"/>
    <w:rsid w:val="007B2279"/>
    <w:rsid w:val="007D1DAA"/>
    <w:rsid w:val="007D288B"/>
    <w:rsid w:val="00830888"/>
    <w:rsid w:val="008475F3"/>
    <w:rsid w:val="0085446C"/>
    <w:rsid w:val="008A39F3"/>
    <w:rsid w:val="008A51F3"/>
    <w:rsid w:val="009104AB"/>
    <w:rsid w:val="00910A2B"/>
    <w:rsid w:val="009659B3"/>
    <w:rsid w:val="009A0221"/>
    <w:rsid w:val="009C6710"/>
    <w:rsid w:val="00A04000"/>
    <w:rsid w:val="00A37E60"/>
    <w:rsid w:val="00A62387"/>
    <w:rsid w:val="00B07AB8"/>
    <w:rsid w:val="00B37061"/>
    <w:rsid w:val="00B50801"/>
    <w:rsid w:val="00B528E9"/>
    <w:rsid w:val="00BC5DAB"/>
    <w:rsid w:val="00C01380"/>
    <w:rsid w:val="00C26AC5"/>
    <w:rsid w:val="00C76469"/>
    <w:rsid w:val="00CA7DD0"/>
    <w:rsid w:val="00CB3422"/>
    <w:rsid w:val="00CC248F"/>
    <w:rsid w:val="00CE7299"/>
    <w:rsid w:val="00D10BF5"/>
    <w:rsid w:val="00D362C6"/>
    <w:rsid w:val="00D366AC"/>
    <w:rsid w:val="00DC6E9B"/>
    <w:rsid w:val="00DE6E5B"/>
    <w:rsid w:val="00E6534D"/>
    <w:rsid w:val="00E75D55"/>
    <w:rsid w:val="00ED7111"/>
    <w:rsid w:val="00F559F5"/>
    <w:rsid w:val="00F72B5D"/>
    <w:rsid w:val="00F77BCD"/>
    <w:rsid w:val="00FA76F3"/>
    <w:rsid w:val="00FB0D57"/>
    <w:rsid w:val="00FF3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84FC"/>
  <w15:chartTrackingRefBased/>
  <w15:docId w15:val="{4C2097E9-EF09-4AE8-9DA1-6D00D8B5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style>
  <w:style w:type="paragraph" w:styleId="Heading1">
    <w:name w:val="heading 1"/>
    <w:basedOn w:val="Normal"/>
    <w:next w:val="Normal"/>
    <w:link w:val="Heading1Char"/>
    <w:uiPriority w:val="9"/>
    <w:qFormat/>
    <w:rsid w:val="008475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475F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5F3"/>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475F3"/>
    <w:pPr>
      <w:ind w:left="720"/>
      <w:contextualSpacing/>
    </w:pPr>
  </w:style>
  <w:style w:type="character" w:customStyle="1" w:styleId="Heading2Char">
    <w:name w:val="Heading 2 Char"/>
    <w:basedOn w:val="DefaultParagraphFont"/>
    <w:link w:val="Heading2"/>
    <w:uiPriority w:val="9"/>
    <w:rsid w:val="008475F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6055CB"/>
    <w:rPr>
      <w:color w:val="0000FF" w:themeColor="hyperlink"/>
      <w:u w:val="single"/>
    </w:rPr>
  </w:style>
  <w:style w:type="character" w:styleId="UnresolvedMention">
    <w:name w:val="Unresolved Mention"/>
    <w:basedOn w:val="DefaultParagraphFont"/>
    <w:uiPriority w:val="99"/>
    <w:semiHidden/>
    <w:unhideWhenUsed/>
    <w:rsid w:val="00B37061"/>
    <w:rPr>
      <w:color w:val="605E5C"/>
      <w:shd w:val="clear" w:color="auto" w:fill="E1DFDD"/>
    </w:rPr>
  </w:style>
  <w:style w:type="paragraph" w:customStyle="1" w:styleId="Default">
    <w:name w:val="Default"/>
    <w:rsid w:val="00CC248F"/>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B3422"/>
    <w:rPr>
      <w:color w:val="800080" w:themeColor="followedHyperlink"/>
      <w:u w:val="single"/>
    </w:rPr>
  </w:style>
  <w:style w:type="paragraph" w:customStyle="1" w:styleId="indent-1">
    <w:name w:val="indent-1"/>
    <w:basedOn w:val="Normal"/>
    <w:rsid w:val="00421EAC"/>
    <w:pPr>
      <w:spacing w:before="100" w:beforeAutospacing="1" w:after="100" w:afterAutospacing="1"/>
    </w:pPr>
    <w:rPr>
      <w:rFonts w:ascii="Times New Roman" w:eastAsia="Times New Roman" w:hAnsi="Times New Roman"/>
      <w:sz w:val="24"/>
      <w:szCs w:val="24"/>
    </w:rPr>
  </w:style>
  <w:style w:type="character" w:customStyle="1" w:styleId="paragraph-hierarchy">
    <w:name w:val="paragraph-hierarchy"/>
    <w:basedOn w:val="DefaultParagraphFont"/>
    <w:rsid w:val="00421EAC"/>
  </w:style>
  <w:style w:type="character" w:customStyle="1" w:styleId="paren">
    <w:name w:val="paren"/>
    <w:basedOn w:val="DefaultParagraphFont"/>
    <w:rsid w:val="00421EAC"/>
  </w:style>
  <w:style w:type="paragraph" w:customStyle="1" w:styleId="indent-2">
    <w:name w:val="indent-2"/>
    <w:basedOn w:val="Normal"/>
    <w:rsid w:val="00421EAC"/>
    <w:pPr>
      <w:spacing w:before="100" w:beforeAutospacing="1" w:after="100" w:afterAutospacing="1"/>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22303A"/>
    <w:rPr>
      <w:sz w:val="16"/>
      <w:szCs w:val="16"/>
    </w:rPr>
  </w:style>
  <w:style w:type="paragraph" w:styleId="CommentText">
    <w:name w:val="annotation text"/>
    <w:basedOn w:val="Normal"/>
    <w:link w:val="CommentTextChar"/>
    <w:uiPriority w:val="99"/>
    <w:unhideWhenUsed/>
    <w:rsid w:val="0022303A"/>
    <w:rPr>
      <w:sz w:val="20"/>
    </w:rPr>
  </w:style>
  <w:style w:type="character" w:customStyle="1" w:styleId="CommentTextChar">
    <w:name w:val="Comment Text Char"/>
    <w:basedOn w:val="DefaultParagraphFont"/>
    <w:link w:val="CommentText"/>
    <w:uiPriority w:val="99"/>
    <w:rsid w:val="0022303A"/>
    <w:rPr>
      <w:sz w:val="20"/>
    </w:rPr>
  </w:style>
  <w:style w:type="paragraph" w:styleId="CommentSubject">
    <w:name w:val="annotation subject"/>
    <w:basedOn w:val="CommentText"/>
    <w:next w:val="CommentText"/>
    <w:link w:val="CommentSubjectChar"/>
    <w:uiPriority w:val="99"/>
    <w:semiHidden/>
    <w:unhideWhenUsed/>
    <w:rsid w:val="0022303A"/>
    <w:rPr>
      <w:b/>
      <w:bCs/>
    </w:rPr>
  </w:style>
  <w:style w:type="character" w:customStyle="1" w:styleId="CommentSubjectChar">
    <w:name w:val="Comment Subject Char"/>
    <w:basedOn w:val="CommentTextChar"/>
    <w:link w:val="CommentSubject"/>
    <w:uiPriority w:val="99"/>
    <w:semiHidden/>
    <w:rsid w:val="0022303A"/>
    <w:rPr>
      <w:b/>
      <w:bCs/>
      <w:sz w:val="20"/>
    </w:rPr>
  </w:style>
  <w:style w:type="paragraph" w:styleId="Revision">
    <w:name w:val="Revision"/>
    <w:hidden/>
    <w:uiPriority w:val="99"/>
    <w:semiHidden/>
    <w:rsid w:val="004E4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44291">
      <w:bodyDiv w:val="1"/>
      <w:marLeft w:val="0"/>
      <w:marRight w:val="0"/>
      <w:marTop w:val="0"/>
      <w:marBottom w:val="0"/>
      <w:divBdr>
        <w:top w:val="none" w:sz="0" w:space="0" w:color="auto"/>
        <w:left w:val="none" w:sz="0" w:space="0" w:color="auto"/>
        <w:bottom w:val="none" w:sz="0" w:space="0" w:color="auto"/>
        <w:right w:val="none" w:sz="0" w:space="0" w:color="auto"/>
      </w:divBdr>
      <w:divsChild>
        <w:div w:id="1696495806">
          <w:marLeft w:val="0"/>
          <w:marRight w:val="0"/>
          <w:marTop w:val="0"/>
          <w:marBottom w:val="0"/>
          <w:divBdr>
            <w:top w:val="none" w:sz="0" w:space="0" w:color="auto"/>
            <w:left w:val="none" w:sz="0" w:space="0" w:color="auto"/>
            <w:bottom w:val="none" w:sz="0" w:space="0" w:color="auto"/>
            <w:right w:val="none" w:sz="0" w:space="0" w:color="auto"/>
          </w:divBdr>
        </w:div>
        <w:div w:id="1124038246">
          <w:marLeft w:val="0"/>
          <w:marRight w:val="0"/>
          <w:marTop w:val="0"/>
          <w:marBottom w:val="0"/>
          <w:divBdr>
            <w:top w:val="none" w:sz="0" w:space="0" w:color="auto"/>
            <w:left w:val="none" w:sz="0" w:space="0" w:color="auto"/>
            <w:bottom w:val="none" w:sz="0" w:space="0" w:color="auto"/>
            <w:right w:val="none" w:sz="0" w:space="0" w:color="auto"/>
          </w:divBdr>
        </w:div>
        <w:div w:id="1141852093">
          <w:marLeft w:val="0"/>
          <w:marRight w:val="0"/>
          <w:marTop w:val="0"/>
          <w:marBottom w:val="0"/>
          <w:divBdr>
            <w:top w:val="none" w:sz="0" w:space="0" w:color="auto"/>
            <w:left w:val="none" w:sz="0" w:space="0" w:color="auto"/>
            <w:bottom w:val="none" w:sz="0" w:space="0" w:color="auto"/>
            <w:right w:val="none" w:sz="0" w:space="0" w:color="auto"/>
          </w:divBdr>
        </w:div>
      </w:divsChild>
    </w:div>
    <w:div w:id="1969121579">
      <w:bodyDiv w:val="1"/>
      <w:marLeft w:val="0"/>
      <w:marRight w:val="0"/>
      <w:marTop w:val="0"/>
      <w:marBottom w:val="0"/>
      <w:divBdr>
        <w:top w:val="none" w:sz="0" w:space="0" w:color="auto"/>
        <w:left w:val="none" w:sz="0" w:space="0" w:color="auto"/>
        <w:bottom w:val="none" w:sz="0" w:space="0" w:color="auto"/>
        <w:right w:val="none" w:sz="0" w:space="0" w:color="auto"/>
      </w:divBdr>
      <w:divsChild>
        <w:div w:id="1028483493">
          <w:marLeft w:val="0"/>
          <w:marRight w:val="0"/>
          <w:marTop w:val="0"/>
          <w:marBottom w:val="0"/>
          <w:divBdr>
            <w:top w:val="none" w:sz="0" w:space="0" w:color="auto"/>
            <w:left w:val="none" w:sz="0" w:space="0" w:color="auto"/>
            <w:bottom w:val="none" w:sz="0" w:space="0" w:color="auto"/>
            <w:right w:val="none" w:sz="0" w:space="0" w:color="auto"/>
          </w:divBdr>
          <w:divsChild>
            <w:div w:id="340009732">
              <w:marLeft w:val="0"/>
              <w:marRight w:val="0"/>
              <w:marTop w:val="0"/>
              <w:marBottom w:val="0"/>
              <w:divBdr>
                <w:top w:val="none" w:sz="0" w:space="0" w:color="auto"/>
                <w:left w:val="none" w:sz="0" w:space="0" w:color="auto"/>
                <w:bottom w:val="none" w:sz="0" w:space="0" w:color="auto"/>
                <w:right w:val="none" w:sz="0" w:space="0" w:color="auto"/>
              </w:divBdr>
            </w:div>
            <w:div w:id="1189490503">
              <w:marLeft w:val="0"/>
              <w:marRight w:val="0"/>
              <w:marTop w:val="0"/>
              <w:marBottom w:val="0"/>
              <w:divBdr>
                <w:top w:val="none" w:sz="0" w:space="0" w:color="auto"/>
                <w:left w:val="none" w:sz="0" w:space="0" w:color="auto"/>
                <w:bottom w:val="none" w:sz="0" w:space="0" w:color="auto"/>
                <w:right w:val="none" w:sz="0" w:space="0" w:color="auto"/>
              </w:divBdr>
              <w:divsChild>
                <w:div w:id="2055541950">
                  <w:marLeft w:val="0"/>
                  <w:marRight w:val="0"/>
                  <w:marTop w:val="0"/>
                  <w:marBottom w:val="0"/>
                  <w:divBdr>
                    <w:top w:val="none" w:sz="0" w:space="0" w:color="auto"/>
                    <w:left w:val="none" w:sz="0" w:space="0" w:color="auto"/>
                    <w:bottom w:val="none" w:sz="0" w:space="0" w:color="auto"/>
                    <w:right w:val="none" w:sz="0" w:space="0" w:color="auto"/>
                  </w:divBdr>
                  <w:divsChild>
                    <w:div w:id="1627352155">
                      <w:marLeft w:val="0"/>
                      <w:marRight w:val="0"/>
                      <w:marTop w:val="0"/>
                      <w:marBottom w:val="0"/>
                      <w:divBdr>
                        <w:top w:val="none" w:sz="0" w:space="0" w:color="auto"/>
                        <w:left w:val="none" w:sz="0" w:space="0" w:color="auto"/>
                        <w:bottom w:val="none" w:sz="0" w:space="0" w:color="auto"/>
                        <w:right w:val="none" w:sz="0" w:space="0" w:color="auto"/>
                      </w:divBdr>
                      <w:divsChild>
                        <w:div w:id="156718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wd.wisconsin.gov/wioa/policy/02/02.2.htm" TargetMode="External"/><Relationship Id="rId3" Type="http://schemas.openxmlformats.org/officeDocument/2006/relationships/settings" Target="settings.xml"/><Relationship Id="rId7" Type="http://schemas.openxmlformats.org/officeDocument/2006/relationships/hyperlink" Target="https://www.ecfr.gov/current/title-20/section-678.70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fr.gov/current/title-20/section-676.135" TargetMode="External"/><Relationship Id="rId11" Type="http://schemas.openxmlformats.org/officeDocument/2006/relationships/fontTable" Target="fontTable.xml"/><Relationship Id="rId5" Type="http://schemas.openxmlformats.org/officeDocument/2006/relationships/hyperlink" Target="https://www.ecfr.gov/current/title-20/chapter-V/part-678/subpart-F/section-678.800" TargetMode="External"/><Relationship Id="rId10" Type="http://schemas.openxmlformats.org/officeDocument/2006/relationships/hyperlink" Target="https://dwd.wisconsin.gov/wioa/policy/01/01.5.htm" TargetMode="External"/><Relationship Id="rId4" Type="http://schemas.openxmlformats.org/officeDocument/2006/relationships/webSettings" Target="webSettings.xml"/><Relationship Id="rId9" Type="http://schemas.openxmlformats.org/officeDocument/2006/relationships/hyperlink" Target="https://dwd.wisconsin.gov/wioa/policy/02/0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Kujawa, Zoe M - DWD</dc:creator>
  <cp:keywords/>
  <dc:description/>
  <cp:lastModifiedBy>Kujawa, Zoe M - DWD</cp:lastModifiedBy>
  <cp:revision>21</cp:revision>
  <dcterms:created xsi:type="dcterms:W3CDTF">2024-06-06T13:01:00Z</dcterms:created>
  <dcterms:modified xsi:type="dcterms:W3CDTF">2024-06-10T11:57:00Z</dcterms:modified>
</cp:coreProperties>
</file>