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CB1AB" w14:textId="44EA2EDE" w:rsidR="00D638F0" w:rsidRPr="003C325B" w:rsidRDefault="00D638F0" w:rsidP="00D638F0">
      <w:pPr>
        <w:ind w:left="360"/>
        <w:rPr>
          <w:rFonts w:asciiTheme="minorHAnsi" w:hAnsiTheme="minorHAnsi" w:cs="Calibri"/>
          <w:b/>
          <w:bCs/>
        </w:rPr>
      </w:pPr>
      <w:r w:rsidRPr="003C325B">
        <w:rPr>
          <w:rFonts w:asciiTheme="minorHAnsi" w:hAnsiTheme="minorHAnsi" w:cs="Calibri"/>
          <w:b/>
          <w:bCs/>
        </w:rPr>
        <w:t>Summary of Comments and DWD-DET's Responses | Policy Effective Date: March 1, 2022</w:t>
      </w:r>
    </w:p>
    <w:p w14:paraId="4E0AB1D6" w14:textId="5CDEC362" w:rsidR="00A57055" w:rsidRPr="00DB19EC" w:rsidRDefault="00DB19EC" w:rsidP="00DB19EC">
      <w:pPr>
        <w:pStyle w:val="ListParagraph"/>
        <w:numPr>
          <w:ilvl w:val="1"/>
          <w:numId w:val="11"/>
        </w:numPr>
        <w:rPr>
          <w:rFonts w:asciiTheme="minorHAnsi" w:hAnsiTheme="minorHAnsi" w:cs="Calibri"/>
        </w:rPr>
      </w:pPr>
      <w:r>
        <w:rPr>
          <w:rFonts w:asciiTheme="minorHAnsi" w:hAnsiTheme="minorHAnsi" w:cs="Calibri"/>
          <w:b/>
          <w:bCs/>
        </w:rPr>
        <w:t xml:space="preserve">Event Hosting Policy </w:t>
      </w:r>
      <w:r w:rsidR="000F0D7D" w:rsidRPr="00DB19EC">
        <w:rPr>
          <w:rFonts w:asciiTheme="minorHAnsi" w:hAnsiTheme="minorHAnsi" w:cs="Calibri"/>
          <w:b/>
          <w:bCs/>
        </w:rPr>
        <w:t xml:space="preserve"> </w:t>
      </w:r>
    </w:p>
    <w:p w14:paraId="50BD12A3" w14:textId="77777777" w:rsidR="000F0D7D" w:rsidRPr="003C325B" w:rsidRDefault="000F0D7D" w:rsidP="000F0D7D">
      <w:pPr>
        <w:rPr>
          <w:rFonts w:asciiTheme="minorHAnsi" w:hAnsiTheme="minorHAnsi" w:cs="Calibri"/>
        </w:rPr>
      </w:pPr>
    </w:p>
    <w:p w14:paraId="293F26CB" w14:textId="2F612693" w:rsidR="00D638F0" w:rsidRPr="003C325B" w:rsidRDefault="00D638F0" w:rsidP="00A57055">
      <w:pPr>
        <w:pStyle w:val="ListParagraph"/>
        <w:numPr>
          <w:ilvl w:val="0"/>
          <w:numId w:val="3"/>
        </w:numPr>
        <w:rPr>
          <w:rFonts w:asciiTheme="minorHAnsi" w:hAnsiTheme="minorHAnsi" w:cs="Calibri"/>
        </w:rPr>
      </w:pPr>
      <w:r w:rsidRPr="003C325B">
        <w:rPr>
          <w:rFonts w:asciiTheme="minorHAnsi" w:hAnsiTheme="minorHAnsi" w:cs="Calibri"/>
        </w:rPr>
        <w:t>Comment</w:t>
      </w:r>
      <w:r w:rsidR="000F0D7D" w:rsidRPr="003C325B">
        <w:rPr>
          <w:rFonts w:asciiTheme="minorHAnsi" w:hAnsiTheme="minorHAnsi" w:cs="Calibri"/>
        </w:rPr>
        <w:t xml:space="preserve">: </w:t>
      </w:r>
    </w:p>
    <w:p w14:paraId="5374197B" w14:textId="5F49CA67" w:rsidR="000F0D7D" w:rsidRPr="003C325B" w:rsidRDefault="003C325B" w:rsidP="000F0D7D">
      <w:pPr>
        <w:pStyle w:val="ListParagraph"/>
        <w:rPr>
          <w:rFonts w:asciiTheme="minorHAnsi" w:hAnsiTheme="minorHAnsi" w:cs="Calibri"/>
        </w:rPr>
      </w:pPr>
      <w:r>
        <w:rPr>
          <w:rFonts w:asciiTheme="minorHAnsi" w:hAnsiTheme="minorHAnsi" w:cs="Calibri"/>
        </w:rPr>
        <w:t>S</w:t>
      </w:r>
      <w:r w:rsidR="000F0D7D" w:rsidRPr="003C325B">
        <w:rPr>
          <w:rFonts w:asciiTheme="minorHAnsi" w:hAnsiTheme="minorHAnsi" w:cs="Calibri"/>
        </w:rPr>
        <w:t xml:space="preserve">uggests two different policies, one that relates to travel and one that addresses Event Hosting. </w:t>
      </w:r>
    </w:p>
    <w:p w14:paraId="28027829" w14:textId="77777777" w:rsidR="000F0D7D" w:rsidRPr="003C325B" w:rsidRDefault="000F0D7D" w:rsidP="000F0D7D">
      <w:pPr>
        <w:pStyle w:val="ListParagraph"/>
        <w:rPr>
          <w:rFonts w:asciiTheme="minorHAnsi" w:hAnsiTheme="minorHAnsi" w:cs="Calibri"/>
        </w:rPr>
      </w:pPr>
    </w:p>
    <w:p w14:paraId="01C8916B" w14:textId="77777777" w:rsidR="000F0D7D" w:rsidRPr="003C325B" w:rsidRDefault="000F0D7D" w:rsidP="000F0D7D">
      <w:pPr>
        <w:pStyle w:val="ListParagraph"/>
        <w:rPr>
          <w:rFonts w:asciiTheme="minorHAnsi" w:hAnsiTheme="minorHAnsi" w:cs="Calibri"/>
        </w:rPr>
      </w:pPr>
      <w:r w:rsidRPr="003C325B">
        <w:rPr>
          <w:rFonts w:asciiTheme="minorHAnsi" w:hAnsiTheme="minorHAnsi" w:cs="Calibri"/>
        </w:rPr>
        <w:t>§ 200.403 Factors affecting allowability of costs.</w:t>
      </w:r>
    </w:p>
    <w:p w14:paraId="067F6528" w14:textId="77777777" w:rsidR="000F0D7D" w:rsidRPr="003C325B" w:rsidRDefault="000F0D7D" w:rsidP="000F0D7D">
      <w:pPr>
        <w:pStyle w:val="ListParagraph"/>
        <w:rPr>
          <w:rFonts w:asciiTheme="minorHAnsi" w:hAnsiTheme="minorHAnsi" w:cs="Calibri"/>
        </w:rPr>
      </w:pPr>
      <w:r w:rsidRPr="003C325B">
        <w:rPr>
          <w:rFonts w:asciiTheme="minorHAnsi" w:hAnsiTheme="minorHAnsi" w:cs="Calibri"/>
        </w:rPr>
        <w:t>§ 200.404 Reasonable costs.</w:t>
      </w:r>
    </w:p>
    <w:p w14:paraId="6058543F" w14:textId="77777777" w:rsidR="000F0D7D" w:rsidRPr="003C325B" w:rsidRDefault="000F0D7D" w:rsidP="000F0D7D">
      <w:pPr>
        <w:pStyle w:val="ListParagraph"/>
        <w:rPr>
          <w:rFonts w:asciiTheme="minorHAnsi" w:hAnsiTheme="minorHAnsi" w:cs="Calibri"/>
        </w:rPr>
      </w:pPr>
      <w:r w:rsidRPr="003C325B">
        <w:rPr>
          <w:rFonts w:asciiTheme="minorHAnsi" w:hAnsiTheme="minorHAnsi" w:cs="Calibri"/>
        </w:rPr>
        <w:t>§ 200.405 Allocable costs.</w:t>
      </w:r>
    </w:p>
    <w:p w14:paraId="37A4E5DF" w14:textId="77777777" w:rsidR="000F0D7D" w:rsidRPr="003C325B" w:rsidRDefault="000F0D7D" w:rsidP="000F0D7D">
      <w:pPr>
        <w:pStyle w:val="ListParagraph"/>
        <w:rPr>
          <w:rFonts w:asciiTheme="minorHAnsi" w:hAnsiTheme="minorHAnsi" w:cs="Calibri"/>
        </w:rPr>
      </w:pPr>
    </w:p>
    <w:p w14:paraId="3620BE60" w14:textId="4C136345" w:rsidR="000F0D7D" w:rsidRPr="003C325B" w:rsidRDefault="000F0D7D" w:rsidP="000F0D7D">
      <w:pPr>
        <w:pStyle w:val="ListParagraph"/>
        <w:rPr>
          <w:rFonts w:asciiTheme="minorHAnsi" w:hAnsiTheme="minorHAnsi" w:cs="Calibri"/>
        </w:rPr>
      </w:pPr>
      <w:r w:rsidRPr="003C325B">
        <w:rPr>
          <w:rFonts w:asciiTheme="minorHAnsi" w:hAnsiTheme="minorHAnsi" w:cs="Calibri"/>
        </w:rPr>
        <w:t>The above sections should be a part of each of the suggested policies with § 200.475 Travel costs included in the travel policies.</w:t>
      </w:r>
    </w:p>
    <w:p w14:paraId="250143A2" w14:textId="77777777" w:rsidR="00D638F0" w:rsidRPr="003C325B" w:rsidRDefault="00D638F0" w:rsidP="00D638F0">
      <w:pPr>
        <w:pStyle w:val="ListParagraph"/>
        <w:rPr>
          <w:rFonts w:asciiTheme="minorHAnsi" w:hAnsiTheme="minorHAnsi" w:cs="Calibri"/>
        </w:rPr>
      </w:pPr>
    </w:p>
    <w:p w14:paraId="6D2745F8" w14:textId="77AF8578" w:rsidR="00D638F0" w:rsidRPr="003C325B" w:rsidRDefault="00D638F0" w:rsidP="00A57055">
      <w:pPr>
        <w:ind w:left="720"/>
        <w:rPr>
          <w:rFonts w:asciiTheme="minorHAnsi" w:hAnsiTheme="minorHAnsi" w:cs="Calibri"/>
        </w:rPr>
      </w:pPr>
      <w:r w:rsidRPr="003C325B">
        <w:rPr>
          <w:rFonts w:asciiTheme="minorHAnsi" w:hAnsiTheme="minorHAnsi" w:cs="Calibri"/>
          <w:b/>
          <w:bCs/>
        </w:rPr>
        <w:t>Response:</w:t>
      </w:r>
      <w:r w:rsidRPr="003C325B">
        <w:rPr>
          <w:rFonts w:asciiTheme="minorHAnsi" w:hAnsiTheme="minorHAnsi" w:cs="Calibri"/>
        </w:rPr>
        <w:t xml:space="preserve"> </w:t>
      </w:r>
      <w:r w:rsidR="000F0D7D" w:rsidRPr="003C325B">
        <w:rPr>
          <w:rFonts w:asciiTheme="minorHAnsi" w:hAnsiTheme="minorHAnsi" w:cs="Calibri"/>
        </w:rPr>
        <w:t xml:space="preserve">DWD-DET has created two separate policies, one for travel and one for Event hosting. Evening hosting policy will be released at a later time. </w:t>
      </w:r>
    </w:p>
    <w:p w14:paraId="7DC0D8FF" w14:textId="6A51A013" w:rsidR="00D638F0" w:rsidRPr="003C325B" w:rsidRDefault="00D638F0" w:rsidP="00D638F0">
      <w:pPr>
        <w:rPr>
          <w:rFonts w:asciiTheme="minorHAnsi" w:hAnsiTheme="minorHAnsi" w:cs="Calibri"/>
        </w:rPr>
      </w:pPr>
    </w:p>
    <w:p w14:paraId="5876F967" w14:textId="77777777" w:rsidR="00D638F0" w:rsidRPr="003C325B" w:rsidRDefault="00D638F0" w:rsidP="00D638F0">
      <w:pPr>
        <w:rPr>
          <w:rFonts w:asciiTheme="minorHAnsi" w:hAnsiTheme="minorHAnsi" w:cs="Calibri"/>
        </w:rPr>
      </w:pPr>
    </w:p>
    <w:p w14:paraId="6905CC23" w14:textId="054F1F95" w:rsidR="00D638F0" w:rsidRPr="003C325B" w:rsidRDefault="00D638F0" w:rsidP="00A57055">
      <w:pPr>
        <w:pStyle w:val="ListParagraph"/>
        <w:numPr>
          <w:ilvl w:val="0"/>
          <w:numId w:val="3"/>
        </w:numPr>
        <w:rPr>
          <w:rFonts w:asciiTheme="minorHAnsi" w:hAnsiTheme="minorHAnsi" w:cs="Calibri"/>
        </w:rPr>
      </w:pPr>
      <w:r w:rsidRPr="003C325B">
        <w:rPr>
          <w:rFonts w:asciiTheme="minorHAnsi" w:hAnsiTheme="minorHAnsi" w:cs="Calibri"/>
        </w:rPr>
        <w:t>Comment</w:t>
      </w:r>
      <w:r w:rsidR="007862FA" w:rsidRPr="003C325B">
        <w:rPr>
          <w:rFonts w:asciiTheme="minorHAnsi" w:hAnsiTheme="minorHAnsi" w:cs="Calibri"/>
        </w:rPr>
        <w:t>:</w:t>
      </w:r>
    </w:p>
    <w:p w14:paraId="7F716125" w14:textId="77777777" w:rsidR="000F0D7D" w:rsidRPr="003C325B" w:rsidRDefault="000F0D7D" w:rsidP="007862FA">
      <w:pPr>
        <w:ind w:left="720"/>
        <w:rPr>
          <w:rFonts w:asciiTheme="minorHAnsi" w:hAnsiTheme="minorHAnsi" w:cs="Calibri"/>
        </w:rPr>
      </w:pPr>
      <w:r w:rsidRPr="003C325B">
        <w:rPr>
          <w:rFonts w:asciiTheme="minorHAnsi" w:hAnsiTheme="minorHAnsi" w:cs="Calibri"/>
        </w:rPr>
        <w:t>If out-of-state travel does not require DWD approval, SWWDB recommends removing this form from the website: WIOA Out-of-State Prior Approval Form.</w:t>
      </w:r>
    </w:p>
    <w:p w14:paraId="3BA8D049" w14:textId="77777777" w:rsidR="000F0D7D" w:rsidRPr="003C325B" w:rsidRDefault="000F0D7D" w:rsidP="000F0D7D">
      <w:pPr>
        <w:rPr>
          <w:rFonts w:asciiTheme="minorHAnsi" w:hAnsiTheme="minorHAnsi" w:cs="Calibri"/>
        </w:rPr>
      </w:pPr>
    </w:p>
    <w:p w14:paraId="5A19A68F" w14:textId="5F9BC3FE" w:rsidR="00D638F0" w:rsidRPr="003C325B" w:rsidRDefault="00D638F0" w:rsidP="00A57055">
      <w:pPr>
        <w:ind w:firstLine="720"/>
        <w:rPr>
          <w:rFonts w:asciiTheme="minorHAnsi" w:hAnsiTheme="minorHAnsi" w:cs="Calibri"/>
          <w:b/>
          <w:bCs/>
        </w:rPr>
      </w:pPr>
      <w:r w:rsidRPr="003C325B">
        <w:rPr>
          <w:rFonts w:asciiTheme="minorHAnsi" w:hAnsiTheme="minorHAnsi" w:cs="Calibri"/>
          <w:b/>
          <w:bCs/>
        </w:rPr>
        <w:t>Response</w:t>
      </w:r>
      <w:r w:rsidR="000F0D7D" w:rsidRPr="003C325B">
        <w:rPr>
          <w:rFonts w:asciiTheme="minorHAnsi" w:hAnsiTheme="minorHAnsi" w:cs="Calibri"/>
          <w:b/>
          <w:bCs/>
        </w:rPr>
        <w:t xml:space="preserve">: </w:t>
      </w:r>
      <w:r w:rsidRPr="003C325B">
        <w:rPr>
          <w:rFonts w:asciiTheme="minorHAnsi" w:hAnsiTheme="minorHAnsi" w:cs="Calibri"/>
        </w:rPr>
        <w:t xml:space="preserve"> </w:t>
      </w:r>
      <w:r w:rsidR="007862FA" w:rsidRPr="003C325B">
        <w:rPr>
          <w:rFonts w:asciiTheme="minorHAnsi" w:hAnsiTheme="minorHAnsi" w:cs="Calibri"/>
        </w:rPr>
        <w:t xml:space="preserve">The out-of-state travel form has been removed from the website. </w:t>
      </w:r>
    </w:p>
    <w:p w14:paraId="4EA83091" w14:textId="77777777" w:rsidR="00D638F0" w:rsidRPr="003C325B" w:rsidRDefault="00D638F0" w:rsidP="00D638F0">
      <w:pPr>
        <w:pStyle w:val="ListParagraph"/>
        <w:ind w:left="1080"/>
        <w:rPr>
          <w:rFonts w:asciiTheme="minorHAnsi" w:hAnsiTheme="minorHAnsi" w:cs="Calibri"/>
        </w:rPr>
      </w:pPr>
    </w:p>
    <w:p w14:paraId="010BD679" w14:textId="403A7D5E" w:rsidR="00A57055" w:rsidRPr="003C325B" w:rsidRDefault="00A57055" w:rsidP="00A57055">
      <w:pPr>
        <w:pStyle w:val="ListParagraph"/>
        <w:numPr>
          <w:ilvl w:val="0"/>
          <w:numId w:val="3"/>
        </w:numPr>
        <w:rPr>
          <w:rFonts w:asciiTheme="minorHAnsi" w:hAnsiTheme="minorHAnsi" w:cs="Calibri"/>
        </w:rPr>
      </w:pPr>
      <w:r w:rsidRPr="003C325B">
        <w:rPr>
          <w:rFonts w:asciiTheme="minorHAnsi" w:hAnsiTheme="minorHAnsi" w:cs="Calibri"/>
        </w:rPr>
        <w:t>Comment</w:t>
      </w:r>
    </w:p>
    <w:p w14:paraId="02718676" w14:textId="044EF5FD" w:rsidR="00A57055" w:rsidRPr="003C325B" w:rsidRDefault="000F0D7D" w:rsidP="007862FA">
      <w:pPr>
        <w:ind w:left="720"/>
        <w:rPr>
          <w:rFonts w:asciiTheme="minorHAnsi" w:hAnsiTheme="minorHAnsi" w:cs="Calibri"/>
        </w:rPr>
      </w:pPr>
      <w:r w:rsidRPr="003C325B">
        <w:rPr>
          <w:rFonts w:asciiTheme="minorHAnsi" w:hAnsiTheme="minorHAnsi" w:cs="Calibri"/>
        </w:rPr>
        <w:t>In the past, DWD approval of conference attendance and/or professional development/ staff training was required; however, it now looks like this is not required and consideration by DWD is only required when a board wants to host an event. Can you please verify that this is indeed correct somewhere in the policy?</w:t>
      </w:r>
    </w:p>
    <w:p w14:paraId="643F8A9A" w14:textId="77777777" w:rsidR="00FC7B84" w:rsidRPr="003C325B" w:rsidRDefault="00FC7B84" w:rsidP="007862FA">
      <w:pPr>
        <w:ind w:left="720"/>
        <w:rPr>
          <w:rFonts w:asciiTheme="minorHAnsi" w:hAnsiTheme="minorHAnsi" w:cs="Calibri"/>
        </w:rPr>
      </w:pPr>
    </w:p>
    <w:p w14:paraId="2D0A8E48" w14:textId="2E6F27F8" w:rsidR="00A57055" w:rsidRPr="003C325B" w:rsidRDefault="00A57055" w:rsidP="00A57055">
      <w:pPr>
        <w:ind w:left="720"/>
        <w:rPr>
          <w:rFonts w:asciiTheme="minorHAnsi" w:hAnsiTheme="minorHAnsi" w:cs="Calibri"/>
        </w:rPr>
      </w:pPr>
      <w:r w:rsidRPr="003C325B">
        <w:rPr>
          <w:rFonts w:asciiTheme="minorHAnsi" w:hAnsiTheme="minorHAnsi" w:cs="Calibri"/>
          <w:b/>
          <w:bCs/>
        </w:rPr>
        <w:t>Response:</w:t>
      </w:r>
      <w:r w:rsidRPr="003C325B">
        <w:rPr>
          <w:rFonts w:asciiTheme="minorHAnsi" w:hAnsiTheme="minorHAnsi" w:cs="Calibri"/>
        </w:rPr>
        <w:t xml:space="preserve"> </w:t>
      </w:r>
      <w:r w:rsidR="007862FA" w:rsidRPr="003C325B">
        <w:rPr>
          <w:rFonts w:asciiTheme="minorHAnsi" w:hAnsiTheme="minorHAnsi" w:cs="Calibri"/>
        </w:rPr>
        <w:t xml:space="preserve">The statement above is correct, DWD-DET will not require pre-approval for </w:t>
      </w:r>
      <w:r w:rsidR="00FC7B84" w:rsidRPr="003C325B">
        <w:rPr>
          <w:rFonts w:asciiTheme="minorHAnsi" w:hAnsiTheme="minorHAnsi" w:cs="Calibri"/>
        </w:rPr>
        <w:t xml:space="preserve">conferences and/or professional development/staff training. </w:t>
      </w:r>
    </w:p>
    <w:p w14:paraId="795D1DD9" w14:textId="77777777" w:rsidR="00FC7B84" w:rsidRPr="003C325B" w:rsidRDefault="00FC7B84" w:rsidP="00A57055">
      <w:pPr>
        <w:ind w:left="720"/>
        <w:rPr>
          <w:rFonts w:asciiTheme="minorHAnsi" w:hAnsiTheme="minorHAnsi" w:cs="Calibri"/>
        </w:rPr>
      </w:pPr>
    </w:p>
    <w:p w14:paraId="2955446A" w14:textId="20E648D0" w:rsidR="000F0D7D" w:rsidRPr="003C325B" w:rsidRDefault="000F0D7D" w:rsidP="000F0D7D">
      <w:pPr>
        <w:pStyle w:val="ListParagraph"/>
        <w:numPr>
          <w:ilvl w:val="0"/>
          <w:numId w:val="3"/>
        </w:numPr>
        <w:rPr>
          <w:rFonts w:asciiTheme="minorHAnsi" w:hAnsiTheme="minorHAnsi"/>
        </w:rPr>
      </w:pPr>
      <w:r w:rsidRPr="003C325B">
        <w:rPr>
          <w:rFonts w:asciiTheme="minorHAnsi" w:hAnsiTheme="minorHAnsi"/>
        </w:rPr>
        <w:t>Comment</w:t>
      </w:r>
    </w:p>
    <w:p w14:paraId="3D84186C" w14:textId="5B5A14E6" w:rsidR="000F0D7D" w:rsidRPr="003C325B" w:rsidRDefault="000F0D7D" w:rsidP="000F0D7D">
      <w:pPr>
        <w:pStyle w:val="ListParagraph"/>
        <w:rPr>
          <w:rFonts w:asciiTheme="minorHAnsi" w:hAnsiTheme="minorHAnsi"/>
        </w:rPr>
      </w:pPr>
      <w:r w:rsidRPr="003C325B">
        <w:rPr>
          <w:rFonts w:asciiTheme="minorHAnsi" w:hAnsiTheme="minorHAnsi"/>
        </w:rPr>
        <w:t xml:space="preserve">Also, can DWD please address regular activities – allowable under WIOA – and please waive the approval requirement, such as One-Stop/WIOA Orientations, Job Fairs, Industry/Sector Partnerships, activities under 680.140, etc. Local boards do a lot of “convening” …bringing groups together to discuss workforce issues, employer issues, program operation/service provider meetings, policy and law changes and may include costs for beverages, snacks, sometime even lunch (think “lunch and learns”)….while lunch and learns may have a fee associated with to pay for the lunch, does staff time has to be approved by DWD for events like this? If serving beverages such coffee and water and snacks such as donuts involve a small cost for events like, is pre-approval required?  Many of these are regular activities. Local boards also </w:t>
      </w:r>
      <w:r w:rsidRPr="003C325B">
        <w:rPr>
          <w:rFonts w:asciiTheme="minorHAnsi" w:hAnsiTheme="minorHAnsi"/>
        </w:rPr>
        <w:lastRenderedPageBreak/>
        <w:t>are included as sponsors in events that have no direct costs. We contribute as co-sponsors by providing a (staff) speaker, WIOA program or local plan information, or data on certain topics. Is pre-approval required?</w:t>
      </w:r>
    </w:p>
    <w:p w14:paraId="29E098FE" w14:textId="285A0F28" w:rsidR="00364CF6" w:rsidRPr="003C325B" w:rsidRDefault="00364CF6" w:rsidP="000F0D7D">
      <w:pPr>
        <w:pStyle w:val="ListParagraph"/>
        <w:rPr>
          <w:rFonts w:asciiTheme="minorHAnsi" w:hAnsiTheme="minorHAnsi"/>
        </w:rPr>
      </w:pPr>
    </w:p>
    <w:p w14:paraId="220444EE" w14:textId="7A80DEFF" w:rsidR="00364CF6" w:rsidRPr="003C325B" w:rsidRDefault="00364CF6" w:rsidP="000F0D7D">
      <w:pPr>
        <w:pStyle w:val="ListParagraph"/>
        <w:rPr>
          <w:rFonts w:asciiTheme="minorHAnsi" w:hAnsiTheme="minorHAnsi"/>
        </w:rPr>
      </w:pPr>
      <w:r w:rsidRPr="003C325B">
        <w:rPr>
          <w:rFonts w:asciiTheme="minorHAnsi" w:hAnsiTheme="minorHAnsi"/>
          <w:b/>
          <w:bCs/>
        </w:rPr>
        <w:t>Response:</w:t>
      </w:r>
      <w:r w:rsidRPr="003C325B">
        <w:rPr>
          <w:rFonts w:asciiTheme="minorHAnsi" w:hAnsiTheme="minorHAnsi"/>
        </w:rPr>
        <w:t xml:space="preserve"> DWD-DET will not require preapproval for regular activities – allowable under WIOA in the Event Hosting Policy. Pre-approval will also not be required for snacks, small costs for regular activities allowable under WIOA. Pre-approval will also not be required for</w:t>
      </w:r>
      <w:r w:rsidR="003C325B" w:rsidRPr="003C325B">
        <w:rPr>
          <w:rFonts w:asciiTheme="minorHAnsi" w:hAnsiTheme="minorHAnsi"/>
        </w:rPr>
        <w:t xml:space="preserve"> contributing as a co-sponsors b providing a (staff) speaker, WIOA program or local plan information, or date on certain topics. </w:t>
      </w:r>
    </w:p>
    <w:p w14:paraId="18FA44B5" w14:textId="542A89DA" w:rsidR="000F0D7D" w:rsidRPr="003C325B" w:rsidRDefault="000F0D7D" w:rsidP="000F0D7D">
      <w:pPr>
        <w:pStyle w:val="ListParagraph"/>
        <w:rPr>
          <w:rFonts w:asciiTheme="minorHAnsi" w:hAnsiTheme="minorHAnsi"/>
        </w:rPr>
      </w:pPr>
    </w:p>
    <w:p w14:paraId="7EF74F93" w14:textId="4C9D82A2" w:rsidR="000F0D7D" w:rsidRPr="003C325B" w:rsidRDefault="000F0D7D" w:rsidP="000F0D7D">
      <w:pPr>
        <w:pStyle w:val="ListParagraph"/>
        <w:numPr>
          <w:ilvl w:val="0"/>
          <w:numId w:val="3"/>
        </w:numPr>
        <w:rPr>
          <w:rFonts w:asciiTheme="minorHAnsi" w:hAnsiTheme="minorHAnsi"/>
        </w:rPr>
      </w:pPr>
      <w:r w:rsidRPr="003C325B">
        <w:rPr>
          <w:rFonts w:asciiTheme="minorHAnsi" w:hAnsiTheme="minorHAnsi"/>
        </w:rPr>
        <w:t>Comment</w:t>
      </w:r>
    </w:p>
    <w:p w14:paraId="2CF72E55" w14:textId="3F7C631C" w:rsidR="000F0D7D" w:rsidRPr="003C325B" w:rsidRDefault="000F0D7D" w:rsidP="000F0D7D">
      <w:pPr>
        <w:pStyle w:val="ListParagraph"/>
        <w:rPr>
          <w:rFonts w:asciiTheme="minorHAnsi" w:hAnsiTheme="minorHAnsi"/>
        </w:rPr>
      </w:pPr>
      <w:proofErr w:type="gramStart"/>
      <w:r w:rsidRPr="003C325B">
        <w:rPr>
          <w:rFonts w:asciiTheme="minorHAnsi" w:hAnsiTheme="minorHAnsi"/>
        </w:rPr>
        <w:t>45 day</w:t>
      </w:r>
      <w:proofErr w:type="gramEnd"/>
      <w:r w:rsidRPr="003C325B">
        <w:rPr>
          <w:rFonts w:asciiTheme="minorHAnsi" w:hAnsiTheme="minorHAnsi"/>
        </w:rPr>
        <w:t xml:space="preserve"> deadline – this seems appropriate for very large events that require a lot of planning and are truly local board sponsored/co-sponsored events with direct costs but when looking at the paragraphs above, many smaller convening events/activities occur so frequently that requiring a 45 day approval request seems excessive. </w:t>
      </w:r>
    </w:p>
    <w:p w14:paraId="21F2FF1E" w14:textId="0231EDF4" w:rsidR="00364CF6" w:rsidRPr="003C325B" w:rsidRDefault="00364CF6" w:rsidP="000F0D7D">
      <w:pPr>
        <w:pStyle w:val="ListParagraph"/>
        <w:rPr>
          <w:rFonts w:asciiTheme="minorHAnsi" w:hAnsiTheme="minorHAnsi"/>
        </w:rPr>
      </w:pPr>
    </w:p>
    <w:p w14:paraId="50826B21" w14:textId="0F1A8293" w:rsidR="00364CF6" w:rsidRPr="003C325B" w:rsidRDefault="00364CF6" w:rsidP="000F0D7D">
      <w:pPr>
        <w:pStyle w:val="ListParagraph"/>
        <w:rPr>
          <w:rFonts w:asciiTheme="minorHAnsi" w:hAnsiTheme="minorHAnsi"/>
        </w:rPr>
      </w:pPr>
      <w:r w:rsidRPr="003C325B">
        <w:rPr>
          <w:rFonts w:asciiTheme="minorHAnsi" w:hAnsiTheme="minorHAnsi"/>
          <w:b/>
          <w:bCs/>
        </w:rPr>
        <w:t>Response:</w:t>
      </w:r>
      <w:r w:rsidRPr="003C325B">
        <w:rPr>
          <w:rFonts w:asciiTheme="minorHAnsi" w:hAnsiTheme="minorHAnsi"/>
        </w:rPr>
        <w:t xml:space="preserve"> DWD-DET has reduced the timeline from 45 days to 15 days in the Event Hosting Policy. </w:t>
      </w:r>
    </w:p>
    <w:p w14:paraId="21B94A53" w14:textId="77777777" w:rsidR="000F0D7D" w:rsidRPr="003C325B" w:rsidRDefault="000F0D7D" w:rsidP="000F0D7D">
      <w:pPr>
        <w:pStyle w:val="ListParagraph"/>
        <w:rPr>
          <w:rFonts w:asciiTheme="minorHAnsi" w:hAnsiTheme="minorHAnsi"/>
        </w:rPr>
      </w:pPr>
    </w:p>
    <w:p w14:paraId="51A967F4" w14:textId="155F0D1D" w:rsidR="000F0D7D" w:rsidRPr="003C325B" w:rsidRDefault="000F0D7D" w:rsidP="000F0D7D">
      <w:pPr>
        <w:pStyle w:val="ListParagraph"/>
        <w:rPr>
          <w:rFonts w:asciiTheme="minorHAnsi" w:hAnsiTheme="minorHAnsi"/>
        </w:rPr>
      </w:pPr>
    </w:p>
    <w:p w14:paraId="1C6A9004" w14:textId="77777777" w:rsidR="00364CF6" w:rsidRPr="003C325B" w:rsidRDefault="00364CF6" w:rsidP="000F0D7D">
      <w:pPr>
        <w:pStyle w:val="ListParagraph"/>
        <w:numPr>
          <w:ilvl w:val="0"/>
          <w:numId w:val="3"/>
        </w:numPr>
        <w:rPr>
          <w:rFonts w:asciiTheme="minorHAnsi" w:hAnsiTheme="minorHAnsi"/>
        </w:rPr>
      </w:pPr>
      <w:r w:rsidRPr="003C325B">
        <w:rPr>
          <w:rFonts w:asciiTheme="minorHAnsi" w:hAnsiTheme="minorHAnsi"/>
        </w:rPr>
        <w:t>Comment</w:t>
      </w:r>
    </w:p>
    <w:p w14:paraId="1BF5E827" w14:textId="779B5075" w:rsidR="000F0D7D" w:rsidRPr="003C325B" w:rsidRDefault="000F0D7D" w:rsidP="00364CF6">
      <w:pPr>
        <w:pStyle w:val="ListParagraph"/>
        <w:rPr>
          <w:rFonts w:asciiTheme="minorHAnsi" w:hAnsiTheme="minorHAnsi"/>
        </w:rPr>
      </w:pPr>
      <w:r w:rsidRPr="003C325B">
        <w:rPr>
          <w:rFonts w:asciiTheme="minorHAnsi" w:hAnsiTheme="minorHAnsi"/>
        </w:rPr>
        <w:t>Please include LEO meetings specifically as events that do not require prior approval.</w:t>
      </w:r>
    </w:p>
    <w:p w14:paraId="1C98471E" w14:textId="342C1A6A" w:rsidR="000F0D7D" w:rsidRPr="003C325B" w:rsidRDefault="000F0D7D">
      <w:pPr>
        <w:rPr>
          <w:rFonts w:asciiTheme="minorHAnsi" w:hAnsiTheme="minorHAnsi"/>
        </w:rPr>
      </w:pPr>
    </w:p>
    <w:p w14:paraId="1AFE11A7" w14:textId="013A9540" w:rsidR="00364CF6" w:rsidRPr="003C325B" w:rsidRDefault="00364CF6" w:rsidP="00364CF6">
      <w:pPr>
        <w:ind w:left="720"/>
        <w:rPr>
          <w:rFonts w:asciiTheme="minorHAnsi" w:hAnsiTheme="minorHAnsi"/>
        </w:rPr>
      </w:pPr>
      <w:r w:rsidRPr="003C325B">
        <w:rPr>
          <w:rFonts w:asciiTheme="minorHAnsi" w:hAnsiTheme="minorHAnsi"/>
          <w:b/>
          <w:bCs/>
        </w:rPr>
        <w:t>Response:</w:t>
      </w:r>
      <w:r w:rsidRPr="003C325B">
        <w:rPr>
          <w:rFonts w:asciiTheme="minorHAnsi" w:hAnsiTheme="minorHAnsi"/>
        </w:rPr>
        <w:t xml:space="preserve"> DWD-DET will include LEO meetings as an event that does not require prior approval in the Event Hosting Policy. </w:t>
      </w:r>
    </w:p>
    <w:sectPr w:rsidR="00364CF6" w:rsidRPr="003C32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D17B6"/>
    <w:multiLevelType w:val="multilevel"/>
    <w:tmpl w:val="A52041D6"/>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02878C4"/>
    <w:multiLevelType w:val="multilevel"/>
    <w:tmpl w:val="ACC0B960"/>
    <w:lvl w:ilvl="0">
      <w:start w:val="4"/>
      <w:numFmt w:val="decimal"/>
      <w:lvlText w:val="%1"/>
      <w:lvlJc w:val="left"/>
      <w:pPr>
        <w:ind w:left="420" w:hanging="420"/>
      </w:pPr>
      <w:rPr>
        <w:rFonts w:hint="default"/>
        <w:b/>
        <w:sz w:val="24"/>
      </w:rPr>
    </w:lvl>
    <w:lvl w:ilvl="1">
      <w:start w:val="18"/>
      <w:numFmt w:val="decimal"/>
      <w:lvlText w:val="%1.%2"/>
      <w:lvlJc w:val="left"/>
      <w:pPr>
        <w:ind w:left="1140" w:hanging="420"/>
      </w:pPr>
      <w:rPr>
        <w:rFonts w:hint="default"/>
        <w:b/>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b/>
        <w:sz w:val="24"/>
      </w:rPr>
    </w:lvl>
    <w:lvl w:ilvl="4">
      <w:start w:val="1"/>
      <w:numFmt w:val="decimal"/>
      <w:lvlText w:val="%1.%2.%3.%4.%5"/>
      <w:lvlJc w:val="left"/>
      <w:pPr>
        <w:ind w:left="3960" w:hanging="1080"/>
      </w:pPr>
      <w:rPr>
        <w:rFonts w:hint="default"/>
        <w:b/>
        <w:sz w:val="24"/>
      </w:rPr>
    </w:lvl>
    <w:lvl w:ilvl="5">
      <w:start w:val="1"/>
      <w:numFmt w:val="decimal"/>
      <w:lvlText w:val="%1.%2.%3.%4.%5.%6"/>
      <w:lvlJc w:val="left"/>
      <w:pPr>
        <w:ind w:left="4680" w:hanging="1080"/>
      </w:pPr>
      <w:rPr>
        <w:rFonts w:hint="default"/>
        <w:b/>
        <w:sz w:val="24"/>
      </w:rPr>
    </w:lvl>
    <w:lvl w:ilvl="6">
      <w:start w:val="1"/>
      <w:numFmt w:val="decimal"/>
      <w:lvlText w:val="%1.%2.%3.%4.%5.%6.%7"/>
      <w:lvlJc w:val="left"/>
      <w:pPr>
        <w:ind w:left="5760" w:hanging="1440"/>
      </w:pPr>
      <w:rPr>
        <w:rFonts w:hint="default"/>
        <w:b/>
        <w:sz w:val="24"/>
      </w:rPr>
    </w:lvl>
    <w:lvl w:ilvl="7">
      <w:start w:val="1"/>
      <w:numFmt w:val="decimal"/>
      <w:lvlText w:val="%1.%2.%3.%4.%5.%6.%7.%8"/>
      <w:lvlJc w:val="left"/>
      <w:pPr>
        <w:ind w:left="6480" w:hanging="1440"/>
      </w:pPr>
      <w:rPr>
        <w:rFonts w:hint="default"/>
        <w:b/>
        <w:sz w:val="24"/>
      </w:rPr>
    </w:lvl>
    <w:lvl w:ilvl="8">
      <w:start w:val="1"/>
      <w:numFmt w:val="decimal"/>
      <w:lvlText w:val="%1.%2.%3.%4.%5.%6.%7.%8.%9"/>
      <w:lvlJc w:val="left"/>
      <w:pPr>
        <w:ind w:left="7200" w:hanging="1440"/>
      </w:pPr>
      <w:rPr>
        <w:rFonts w:hint="default"/>
        <w:b/>
        <w:sz w:val="24"/>
      </w:rPr>
    </w:lvl>
  </w:abstractNum>
  <w:abstractNum w:abstractNumId="2" w15:restartNumberingAfterBreak="0">
    <w:nsid w:val="1E9D18C4"/>
    <w:multiLevelType w:val="hybridMultilevel"/>
    <w:tmpl w:val="CB96D70E"/>
    <w:lvl w:ilvl="0" w:tplc="CBA62710">
      <w:start w:val="1"/>
      <w:numFmt w:val="decimal"/>
      <w:lvlText w:val="%1)"/>
      <w:lvlJc w:val="left"/>
      <w:pPr>
        <w:ind w:left="1080" w:hanging="360"/>
      </w:pPr>
      <w:rPr>
        <w:rFonts w:ascii="Calibri" w:eastAsia="Calibri" w:hAnsi="Calibri" w:cs="Calibr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5EE4FE1"/>
    <w:multiLevelType w:val="multilevel"/>
    <w:tmpl w:val="86362AF0"/>
    <w:lvl w:ilvl="0">
      <w:start w:val="4"/>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1E026F"/>
    <w:multiLevelType w:val="multilevel"/>
    <w:tmpl w:val="27B4873E"/>
    <w:lvl w:ilvl="0">
      <w:start w:val="4"/>
      <w:numFmt w:val="decimal"/>
      <w:lvlText w:val="%1"/>
      <w:lvlJc w:val="left"/>
      <w:pPr>
        <w:ind w:left="420" w:hanging="420"/>
      </w:pPr>
      <w:rPr>
        <w:rFonts w:hint="default"/>
        <w:b/>
        <w:sz w:val="24"/>
      </w:rPr>
    </w:lvl>
    <w:lvl w:ilvl="1">
      <w:start w:val="18"/>
      <w:numFmt w:val="decimal"/>
      <w:lvlText w:val="%1.%2"/>
      <w:lvlJc w:val="left"/>
      <w:pPr>
        <w:ind w:left="420" w:hanging="42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5" w15:restartNumberingAfterBreak="0">
    <w:nsid w:val="2F522A5E"/>
    <w:multiLevelType w:val="hybridMultilevel"/>
    <w:tmpl w:val="0140424C"/>
    <w:lvl w:ilvl="0" w:tplc="5B265D34">
      <w:start w:val="1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F233BF"/>
    <w:multiLevelType w:val="multilevel"/>
    <w:tmpl w:val="B8149000"/>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B4737E0"/>
    <w:multiLevelType w:val="multilevel"/>
    <w:tmpl w:val="B498B2D6"/>
    <w:lvl w:ilvl="0">
      <w:start w:val="4"/>
      <w:numFmt w:val="decimal"/>
      <w:lvlText w:val="%1"/>
      <w:lvlJc w:val="left"/>
      <w:pPr>
        <w:ind w:left="390" w:hanging="390"/>
      </w:pPr>
      <w:rPr>
        <w:rFonts w:hint="default"/>
        <w:b/>
      </w:rPr>
    </w:lvl>
    <w:lvl w:ilvl="1">
      <w:start w:val="19"/>
      <w:numFmt w:val="decimal"/>
      <w:lvlText w:val="%1.%2"/>
      <w:lvlJc w:val="left"/>
      <w:pPr>
        <w:ind w:left="1110" w:hanging="39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8" w15:restartNumberingAfterBreak="0">
    <w:nsid w:val="65CD48B9"/>
    <w:multiLevelType w:val="hybridMultilevel"/>
    <w:tmpl w:val="6CAC6460"/>
    <w:lvl w:ilvl="0" w:tplc="41A60C48">
      <w:start w:val="4"/>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A76F3B"/>
    <w:multiLevelType w:val="hybridMultilevel"/>
    <w:tmpl w:val="ED6ABD0E"/>
    <w:lvl w:ilvl="0" w:tplc="DF124AE6">
      <w:start w:val="3"/>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2972AD"/>
    <w:multiLevelType w:val="hybridMultilevel"/>
    <w:tmpl w:val="063452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0"/>
  </w:num>
  <w:num w:numId="4">
    <w:abstractNumId w:val="0"/>
  </w:num>
  <w:num w:numId="5">
    <w:abstractNumId w:val="5"/>
  </w:num>
  <w:num w:numId="6">
    <w:abstractNumId w:val="3"/>
  </w:num>
  <w:num w:numId="7">
    <w:abstractNumId w:val="4"/>
  </w:num>
  <w:num w:numId="8">
    <w:abstractNumId w:val="9"/>
  </w:num>
  <w:num w:numId="9">
    <w:abstractNumId w:val="8"/>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F0"/>
    <w:rsid w:val="000F0D7D"/>
    <w:rsid w:val="00246E23"/>
    <w:rsid w:val="00357662"/>
    <w:rsid w:val="00364CF6"/>
    <w:rsid w:val="003C325B"/>
    <w:rsid w:val="004C48E1"/>
    <w:rsid w:val="006B1217"/>
    <w:rsid w:val="007862FA"/>
    <w:rsid w:val="00A57055"/>
    <w:rsid w:val="00D638F0"/>
    <w:rsid w:val="00DB19EC"/>
    <w:rsid w:val="00E06FD5"/>
    <w:rsid w:val="00FC7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9CB0A"/>
  <w15:chartTrackingRefBased/>
  <w15:docId w15:val="{BCBF210F-B58E-4594-9C53-EEDEF3D2A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8F0"/>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8F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39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5915F-66B6-4C99-B3EE-8A0ADEF26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Ghuman, Sumanpreet K - DWD</dc:creator>
  <cp:keywords/>
  <dc:description/>
  <cp:lastModifiedBy>Ghuman, Sumanpreet K - DWD</cp:lastModifiedBy>
  <cp:revision>2</cp:revision>
  <dcterms:created xsi:type="dcterms:W3CDTF">2022-02-01T05:06:00Z</dcterms:created>
  <dcterms:modified xsi:type="dcterms:W3CDTF">2022-02-01T05:06:00Z</dcterms:modified>
</cp:coreProperties>
</file>