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36356" w14:textId="0C739351" w:rsidR="00357662" w:rsidRDefault="008475F3" w:rsidP="008475F3">
      <w:pPr>
        <w:pStyle w:val="Heading1"/>
      </w:pPr>
      <w:r>
        <w:t>Summary of Comments and DWD-DET's Responses – 8.3.3 Adult Program Enrollment Benchmarks</w:t>
      </w:r>
    </w:p>
    <w:p w14:paraId="48E7549B" w14:textId="6AD9BB20" w:rsidR="008475F3" w:rsidRPr="001D5D98" w:rsidRDefault="008475F3" w:rsidP="008475F3">
      <w:pPr>
        <w:rPr>
          <w:rFonts w:asciiTheme="minorHAnsi" w:hAnsiTheme="minorHAnsi" w:cstheme="minorHAnsi"/>
          <w:sz w:val="18"/>
          <w:szCs w:val="18"/>
        </w:rPr>
      </w:pPr>
      <w:r w:rsidRPr="001D5D98">
        <w:rPr>
          <w:rFonts w:asciiTheme="minorHAnsi" w:hAnsiTheme="minorHAnsi" w:cstheme="minorHAnsi"/>
          <w:sz w:val="18"/>
          <w:szCs w:val="18"/>
        </w:rPr>
        <w:t xml:space="preserve">Policy Effective </w:t>
      </w:r>
      <w:r w:rsidR="00E67498">
        <w:rPr>
          <w:rFonts w:asciiTheme="minorHAnsi" w:hAnsiTheme="minorHAnsi" w:cstheme="minorHAnsi"/>
          <w:sz w:val="18"/>
          <w:szCs w:val="18"/>
        </w:rPr>
        <w:t>7/1/2023</w:t>
      </w:r>
    </w:p>
    <w:p w14:paraId="6B7E4242" w14:textId="77777777" w:rsidR="006055CB" w:rsidRDefault="006055CB" w:rsidP="008475F3">
      <w:pPr>
        <w:pStyle w:val="Heading2"/>
      </w:pPr>
    </w:p>
    <w:p w14:paraId="3B3E3D10" w14:textId="4596EDAF" w:rsidR="008475F3" w:rsidRDefault="00280317" w:rsidP="006055CB">
      <w:pPr>
        <w:pStyle w:val="Heading2"/>
        <w:numPr>
          <w:ilvl w:val="0"/>
          <w:numId w:val="1"/>
        </w:numPr>
      </w:pPr>
      <w:r>
        <w:t>T</w:t>
      </w:r>
      <w:r w:rsidR="008475F3">
        <w:t>wo comments ask for "</w:t>
      </w:r>
      <w:r w:rsidR="006055CB">
        <w:t>p</w:t>
      </w:r>
      <w:r w:rsidR="008475F3" w:rsidRPr="002B0C79">
        <w:t>ublic assistance recipients</w:t>
      </w:r>
      <w:r w:rsidR="006055CB">
        <w:t>"</w:t>
      </w:r>
      <w:r w:rsidR="008475F3" w:rsidRPr="002B0C79">
        <w:t xml:space="preserve"> to be added to the bulleted list</w:t>
      </w:r>
      <w:r w:rsidR="006055CB">
        <w:t xml:space="preserve"> in the policy </w:t>
      </w:r>
      <w:r w:rsidR="008475F3">
        <w:t xml:space="preserve">to mirror how </w:t>
      </w:r>
      <w:r w:rsidR="006055CB">
        <w:t xml:space="preserve">TEGL </w:t>
      </w:r>
      <w:r w:rsidR="00112F64">
        <w:t xml:space="preserve">7-20 </w:t>
      </w:r>
      <w:r w:rsidR="008475F3">
        <w:t>defines the priority groups.</w:t>
      </w:r>
    </w:p>
    <w:p w14:paraId="56251C53" w14:textId="68BC7324" w:rsidR="008475F3" w:rsidRDefault="008475F3" w:rsidP="008475F3"/>
    <w:p w14:paraId="08673F70" w14:textId="19C2FF6B" w:rsidR="006055CB" w:rsidRPr="00230816" w:rsidRDefault="006055CB" w:rsidP="006055CB">
      <w:pPr>
        <w:ind w:left="720"/>
        <w:rPr>
          <w:rFonts w:asciiTheme="minorHAnsi" w:hAnsiTheme="minorHAnsi" w:cstheme="minorHAnsi"/>
        </w:rPr>
      </w:pPr>
      <w:r w:rsidRPr="00230816">
        <w:rPr>
          <w:rFonts w:asciiTheme="minorHAnsi" w:hAnsiTheme="minorHAnsi" w:cstheme="minorHAnsi"/>
        </w:rPr>
        <w:t>DWD-DET omitted “recipients of public assistance” in the bulleted list because any participant who receives public assistance is considered low-income, see "</w:t>
      </w:r>
      <w:hyperlink r:id="rId6" w:history="1">
        <w:r w:rsidRPr="00230816">
          <w:rPr>
            <w:rStyle w:val="Hyperlink"/>
            <w:rFonts w:asciiTheme="minorHAnsi" w:hAnsiTheme="minorHAnsi" w:cstheme="minorHAnsi"/>
            <w:szCs w:val="22"/>
          </w:rPr>
          <w:t>Low Income Guidance</w:t>
        </w:r>
      </w:hyperlink>
      <w:r w:rsidR="00B37061" w:rsidRPr="00230816">
        <w:rPr>
          <w:rStyle w:val="Hyperlink"/>
          <w:rFonts w:asciiTheme="minorHAnsi" w:hAnsiTheme="minorHAnsi" w:cstheme="minorHAnsi"/>
          <w:color w:val="365F91" w:themeColor="accent1" w:themeShade="BF"/>
          <w:szCs w:val="22"/>
          <w:u w:val="none"/>
        </w:rPr>
        <w:t>"</w:t>
      </w:r>
      <w:r w:rsidRPr="00230816">
        <w:rPr>
          <w:rFonts w:asciiTheme="minorHAnsi" w:hAnsiTheme="minorHAnsi" w:cstheme="minorHAnsi"/>
        </w:rPr>
        <w:t xml:space="preserve"> </w:t>
      </w:r>
      <w:r w:rsidR="00B37061" w:rsidRPr="00230816">
        <w:rPr>
          <w:rFonts w:asciiTheme="minorHAnsi" w:hAnsiTheme="minorHAnsi" w:cstheme="minorHAnsi"/>
        </w:rPr>
        <w:t>in</w:t>
      </w:r>
      <w:r w:rsidRPr="00230816">
        <w:rPr>
          <w:rFonts w:asciiTheme="minorHAnsi" w:hAnsiTheme="minorHAnsi" w:cstheme="minorHAnsi"/>
        </w:rPr>
        <w:t xml:space="preserve"> the Titles I-A and I-B Policy Manual. For clarity, DWD-DET has added "recipients of public assistance” to the bulleted list</w:t>
      </w:r>
      <w:r w:rsidR="00DC6E9B">
        <w:rPr>
          <w:rFonts w:asciiTheme="minorHAnsi" w:hAnsiTheme="minorHAnsi" w:cstheme="minorHAnsi"/>
        </w:rPr>
        <w:t xml:space="preserve"> in the policy.</w:t>
      </w:r>
    </w:p>
    <w:p w14:paraId="209A27DD" w14:textId="77777777" w:rsidR="008475F3" w:rsidRPr="008475F3" w:rsidRDefault="008475F3" w:rsidP="008475F3"/>
    <w:p w14:paraId="2688DF89" w14:textId="54FD11D0" w:rsidR="008475F3" w:rsidRDefault="00743278" w:rsidP="006055CB">
      <w:pPr>
        <w:pStyle w:val="Heading2"/>
        <w:numPr>
          <w:ilvl w:val="0"/>
          <w:numId w:val="1"/>
        </w:numPr>
      </w:pPr>
      <w:r>
        <w:t xml:space="preserve">There were a few comments on the </w:t>
      </w:r>
      <w:r w:rsidR="00280317">
        <w:t>e</w:t>
      </w:r>
      <w:r>
        <w:t>ffect this policy may have on enrollment number</w:t>
      </w:r>
      <w:r w:rsidR="00D10BF5">
        <w:t xml:space="preserve">s. </w:t>
      </w:r>
      <w:r>
        <w:t>Commenters stated that enrollment is low, and</w:t>
      </w:r>
      <w:r w:rsidR="008A51F3">
        <w:t xml:space="preserve"> they are concerned</w:t>
      </w:r>
      <w:r>
        <w:t xml:space="preserve"> this policy may have a negative impact on</w:t>
      </w:r>
      <w:r w:rsidR="00280317">
        <w:t xml:space="preserve"> </w:t>
      </w:r>
      <w:r>
        <w:t>enrollment numbers.</w:t>
      </w:r>
      <w:r w:rsidR="008A51F3">
        <w:t xml:space="preserve"> </w:t>
      </w:r>
      <w:r w:rsidR="00D10BF5">
        <w:t xml:space="preserve"> A comment</w:t>
      </w:r>
      <w:r w:rsidR="00280317">
        <w:t>e</w:t>
      </w:r>
      <w:r w:rsidR="00D10BF5">
        <w:t xml:space="preserve">r also stated concern that this policy may </w:t>
      </w:r>
      <w:r w:rsidR="002E4F3E">
        <w:t>be used to</w:t>
      </w:r>
      <w:r w:rsidR="00D10BF5">
        <w:t xml:space="preserve"> "</w:t>
      </w:r>
      <w:r w:rsidR="00D10BF5" w:rsidRPr="00D10BF5">
        <w:t xml:space="preserve">determine program eligibility or </w:t>
      </w:r>
      <w:r w:rsidR="002E4F3E">
        <w:t>'</w:t>
      </w:r>
      <w:r w:rsidR="00D10BF5" w:rsidRPr="00D10BF5">
        <w:t>appropriateness</w:t>
      </w:r>
      <w:r w:rsidR="00B07AB8">
        <w:t>'</w:t>
      </w:r>
      <w:r w:rsidR="006E0D18">
        <w:t>.</w:t>
      </w:r>
      <w:r w:rsidR="00D10BF5">
        <w:t>"</w:t>
      </w:r>
    </w:p>
    <w:p w14:paraId="7E5A518C" w14:textId="77777777" w:rsidR="00671A80" w:rsidRDefault="00671A80" w:rsidP="00BC3C1E">
      <w:pPr>
        <w:rPr>
          <w:rFonts w:asciiTheme="minorHAnsi" w:hAnsiTheme="minorHAnsi" w:cstheme="minorHAnsi"/>
          <w:szCs w:val="22"/>
        </w:rPr>
      </w:pPr>
    </w:p>
    <w:p w14:paraId="2B97F19C" w14:textId="653E7134" w:rsidR="00AD7B08" w:rsidRDefault="001E324A" w:rsidP="00743278">
      <w:pPr>
        <w:ind w:left="720"/>
        <w:rPr>
          <w:rFonts w:asciiTheme="minorHAnsi" w:hAnsiTheme="minorHAnsi" w:cstheme="minorHAnsi"/>
          <w:szCs w:val="22"/>
        </w:rPr>
      </w:pPr>
      <w:r>
        <w:rPr>
          <w:rFonts w:asciiTheme="minorHAnsi" w:hAnsiTheme="minorHAnsi" w:cstheme="minorHAnsi"/>
          <w:szCs w:val="22"/>
        </w:rPr>
        <w:t xml:space="preserve">The DOL established 50.1 percent benchmark is an expectation, it is not a requirement. </w:t>
      </w:r>
      <w:r w:rsidR="00743278" w:rsidRPr="00230816">
        <w:rPr>
          <w:rFonts w:asciiTheme="minorHAnsi" w:hAnsiTheme="minorHAnsi" w:cstheme="minorHAnsi"/>
          <w:szCs w:val="22"/>
        </w:rPr>
        <w:t xml:space="preserve">DWD-DET is unclear how this policy would negatively </w:t>
      </w:r>
      <w:r w:rsidR="007D1DAA">
        <w:rPr>
          <w:rFonts w:asciiTheme="minorHAnsi" w:hAnsiTheme="minorHAnsi" w:cstheme="minorHAnsi"/>
          <w:szCs w:val="22"/>
        </w:rPr>
        <w:t>a</w:t>
      </w:r>
      <w:r w:rsidR="007D1DAA" w:rsidRPr="00230816">
        <w:rPr>
          <w:rFonts w:asciiTheme="minorHAnsi" w:hAnsiTheme="minorHAnsi" w:cstheme="minorHAnsi"/>
          <w:szCs w:val="22"/>
        </w:rPr>
        <w:t>ffect</w:t>
      </w:r>
      <w:r w:rsidR="00743278" w:rsidRPr="00230816">
        <w:rPr>
          <w:rFonts w:asciiTheme="minorHAnsi" w:hAnsiTheme="minorHAnsi" w:cstheme="minorHAnsi"/>
          <w:szCs w:val="22"/>
        </w:rPr>
        <w:t xml:space="preserve"> enrollment numbers</w:t>
      </w:r>
      <w:r w:rsidR="002E4F3E" w:rsidRPr="00230816">
        <w:rPr>
          <w:rFonts w:asciiTheme="minorHAnsi" w:hAnsiTheme="minorHAnsi" w:cstheme="minorHAnsi"/>
          <w:szCs w:val="22"/>
        </w:rPr>
        <w:t xml:space="preserve"> as this</w:t>
      </w:r>
      <w:r w:rsidR="00743278" w:rsidRPr="00230816">
        <w:rPr>
          <w:rFonts w:asciiTheme="minorHAnsi" w:hAnsiTheme="minorHAnsi" w:cstheme="minorHAnsi"/>
          <w:szCs w:val="22"/>
        </w:rPr>
        <w:t xml:space="preserve"> policy does not change the eligibility criteria for the Adult program.</w:t>
      </w:r>
      <w:r w:rsidR="002E4F3E" w:rsidRPr="00230816">
        <w:rPr>
          <w:rFonts w:asciiTheme="minorHAnsi" w:hAnsiTheme="minorHAnsi" w:cstheme="minorHAnsi"/>
          <w:szCs w:val="22"/>
        </w:rPr>
        <w:t xml:space="preserve"> </w:t>
      </w:r>
      <w:r w:rsidR="00910A2B">
        <w:rPr>
          <w:rFonts w:asciiTheme="minorHAnsi" w:hAnsiTheme="minorHAnsi" w:cstheme="minorHAnsi"/>
          <w:szCs w:val="22"/>
        </w:rPr>
        <w:t>Furthermore, t</w:t>
      </w:r>
      <w:r w:rsidR="002E4F3E" w:rsidRPr="00230816">
        <w:rPr>
          <w:rFonts w:asciiTheme="minorHAnsi" w:hAnsiTheme="minorHAnsi" w:cstheme="minorHAnsi"/>
          <w:szCs w:val="22"/>
        </w:rPr>
        <w:t>his policy should not be used to determine eligibility or "</w:t>
      </w:r>
      <w:r w:rsidR="00B07AB8" w:rsidRPr="00230816">
        <w:rPr>
          <w:rFonts w:asciiTheme="minorHAnsi" w:hAnsiTheme="minorHAnsi" w:cstheme="minorHAnsi"/>
          <w:szCs w:val="22"/>
        </w:rPr>
        <w:t>appropriateness</w:t>
      </w:r>
      <w:r w:rsidR="002E4F3E" w:rsidRPr="00230816">
        <w:rPr>
          <w:rFonts w:asciiTheme="minorHAnsi" w:hAnsiTheme="minorHAnsi" w:cstheme="minorHAnsi"/>
          <w:szCs w:val="22"/>
        </w:rPr>
        <w:t xml:space="preserve">" for the Adult </w:t>
      </w:r>
      <w:r w:rsidR="00B07AB8" w:rsidRPr="00230816">
        <w:rPr>
          <w:rFonts w:asciiTheme="minorHAnsi" w:hAnsiTheme="minorHAnsi" w:cstheme="minorHAnsi"/>
          <w:szCs w:val="22"/>
        </w:rPr>
        <w:t>P</w:t>
      </w:r>
      <w:r w:rsidR="002E4F3E" w:rsidRPr="00230816">
        <w:rPr>
          <w:rFonts w:asciiTheme="minorHAnsi" w:hAnsiTheme="minorHAnsi" w:cstheme="minorHAnsi"/>
          <w:szCs w:val="22"/>
        </w:rPr>
        <w:t>rogram</w:t>
      </w:r>
      <w:r w:rsidR="00B07AB8" w:rsidRPr="00230816">
        <w:rPr>
          <w:rFonts w:asciiTheme="minorHAnsi" w:hAnsiTheme="minorHAnsi" w:cstheme="minorHAnsi"/>
          <w:szCs w:val="22"/>
        </w:rPr>
        <w:t xml:space="preserve">. Please see </w:t>
      </w:r>
      <w:r w:rsidR="00B37061" w:rsidRPr="00230816">
        <w:rPr>
          <w:rFonts w:asciiTheme="minorHAnsi" w:hAnsiTheme="minorHAnsi" w:cstheme="minorHAnsi"/>
          <w:szCs w:val="22"/>
        </w:rPr>
        <w:t xml:space="preserve">policy </w:t>
      </w:r>
      <w:hyperlink r:id="rId7" w:anchor="sectionOne" w:history="1">
        <w:r w:rsidR="00B37061" w:rsidRPr="00230816">
          <w:rPr>
            <w:rStyle w:val="Hyperlink"/>
            <w:rFonts w:asciiTheme="minorHAnsi" w:hAnsiTheme="minorHAnsi" w:cstheme="minorHAnsi"/>
            <w:szCs w:val="22"/>
          </w:rPr>
          <w:t>8.2.1</w:t>
        </w:r>
      </w:hyperlink>
      <w:r w:rsidR="00B07AB8" w:rsidRPr="00230816">
        <w:rPr>
          <w:rFonts w:asciiTheme="minorHAnsi" w:hAnsiTheme="minorHAnsi" w:cstheme="minorHAnsi"/>
          <w:szCs w:val="22"/>
        </w:rPr>
        <w:t xml:space="preserve"> </w:t>
      </w:r>
      <w:r w:rsidR="00B37061" w:rsidRPr="00230816">
        <w:rPr>
          <w:rFonts w:asciiTheme="minorHAnsi" w:hAnsiTheme="minorHAnsi" w:cstheme="minorHAnsi"/>
        </w:rPr>
        <w:t>in the Titles I-A and I-B Policy Manual</w:t>
      </w:r>
      <w:r w:rsidR="00B07AB8" w:rsidRPr="00230816">
        <w:rPr>
          <w:rFonts w:asciiTheme="minorHAnsi" w:hAnsiTheme="minorHAnsi" w:cstheme="minorHAnsi"/>
          <w:szCs w:val="22"/>
        </w:rPr>
        <w:t xml:space="preserve"> for the Adult </w:t>
      </w:r>
      <w:r w:rsidR="006D1016" w:rsidRPr="00230816">
        <w:rPr>
          <w:rFonts w:asciiTheme="minorHAnsi" w:hAnsiTheme="minorHAnsi" w:cstheme="minorHAnsi"/>
          <w:szCs w:val="22"/>
        </w:rPr>
        <w:t>P</w:t>
      </w:r>
      <w:r w:rsidR="00B07AB8" w:rsidRPr="00230816">
        <w:rPr>
          <w:rFonts w:asciiTheme="minorHAnsi" w:hAnsiTheme="minorHAnsi" w:cstheme="minorHAnsi"/>
          <w:szCs w:val="22"/>
        </w:rPr>
        <w:t>rogram eligibility.</w:t>
      </w:r>
      <w:r w:rsidR="00AD7B08">
        <w:rPr>
          <w:rFonts w:asciiTheme="minorHAnsi" w:hAnsiTheme="minorHAnsi" w:cstheme="minorHAnsi"/>
          <w:szCs w:val="22"/>
        </w:rPr>
        <w:t xml:space="preserve"> </w:t>
      </w:r>
    </w:p>
    <w:p w14:paraId="3F1BB368" w14:textId="77777777" w:rsidR="00AD7B08" w:rsidRDefault="00AD7B08" w:rsidP="00743278">
      <w:pPr>
        <w:ind w:left="720"/>
        <w:rPr>
          <w:rFonts w:asciiTheme="minorHAnsi" w:hAnsiTheme="minorHAnsi" w:cstheme="minorHAnsi"/>
          <w:szCs w:val="22"/>
        </w:rPr>
      </w:pPr>
    </w:p>
    <w:p w14:paraId="781826E6" w14:textId="77777777" w:rsidR="001E324A" w:rsidRPr="00230816" w:rsidRDefault="00DB59DA" w:rsidP="001E324A">
      <w:pPr>
        <w:ind w:left="720"/>
        <w:rPr>
          <w:rFonts w:asciiTheme="minorHAnsi" w:hAnsiTheme="minorHAnsi" w:cstheme="minorHAnsi"/>
          <w:szCs w:val="22"/>
        </w:rPr>
      </w:pPr>
      <w:r>
        <w:rPr>
          <w:rFonts w:asciiTheme="minorHAnsi" w:hAnsiTheme="minorHAnsi" w:cstheme="minorHAnsi"/>
          <w:szCs w:val="22"/>
        </w:rPr>
        <w:t>DOL's vision is to maximize the resources of the workforce system to "</w:t>
      </w:r>
      <w:r w:rsidRPr="00DB59DA">
        <w:rPr>
          <w:rFonts w:asciiTheme="minorHAnsi" w:hAnsiTheme="minorHAnsi" w:cstheme="minorHAnsi"/>
          <w:szCs w:val="22"/>
        </w:rPr>
        <w:t>serve adults most in need of assistance from the</w:t>
      </w:r>
      <w:r>
        <w:rPr>
          <w:rFonts w:asciiTheme="minorHAnsi" w:hAnsiTheme="minorHAnsi" w:cstheme="minorHAnsi"/>
          <w:szCs w:val="22"/>
        </w:rPr>
        <w:t xml:space="preserve"> </w:t>
      </w:r>
      <w:r w:rsidRPr="00DB59DA">
        <w:rPr>
          <w:rFonts w:asciiTheme="minorHAnsi" w:hAnsiTheme="minorHAnsi" w:cstheme="minorHAnsi"/>
          <w:szCs w:val="22"/>
        </w:rPr>
        <w:t>public workforce system</w:t>
      </w:r>
      <w:r>
        <w:rPr>
          <w:rFonts w:asciiTheme="minorHAnsi" w:hAnsiTheme="minorHAnsi" w:cstheme="minorHAnsi"/>
          <w:szCs w:val="22"/>
        </w:rPr>
        <w:t xml:space="preserve">." </w:t>
      </w:r>
      <w:r w:rsidR="001E324A">
        <w:rPr>
          <w:rFonts w:asciiTheme="minorHAnsi" w:hAnsiTheme="minorHAnsi" w:cstheme="minorHAnsi"/>
          <w:szCs w:val="22"/>
        </w:rPr>
        <w:t xml:space="preserve">DWD-DET encourages WDBs to utilize the outreach, training, and coordination suggestions in </w:t>
      </w:r>
      <w:hyperlink r:id="rId8" w:history="1">
        <w:r w:rsidR="001E324A" w:rsidRPr="00455E43">
          <w:rPr>
            <w:rStyle w:val="Hyperlink"/>
            <w:rFonts w:asciiTheme="minorHAnsi" w:hAnsiTheme="minorHAnsi" w:cstheme="minorHAnsi"/>
            <w:szCs w:val="22"/>
          </w:rPr>
          <w:t>TEGL 7-20</w:t>
        </w:r>
      </w:hyperlink>
      <w:r w:rsidR="001E324A">
        <w:rPr>
          <w:rStyle w:val="Hyperlink"/>
          <w:rFonts w:asciiTheme="minorHAnsi" w:hAnsiTheme="minorHAnsi" w:cstheme="minorHAnsi"/>
          <w:szCs w:val="22"/>
        </w:rPr>
        <w:t xml:space="preserve"> </w:t>
      </w:r>
      <w:r w:rsidR="001E324A">
        <w:rPr>
          <w:rFonts w:asciiTheme="minorHAnsi" w:hAnsiTheme="minorHAnsi" w:cstheme="minorHAnsi"/>
          <w:szCs w:val="22"/>
        </w:rPr>
        <w:t>to increase the WDB's percentage of individuals in the three priority groups listed in the policy.</w:t>
      </w:r>
    </w:p>
    <w:p w14:paraId="2D9B7B41" w14:textId="40D449D3" w:rsidR="00B37061" w:rsidRDefault="00B37061" w:rsidP="00392732">
      <w:pPr>
        <w:rPr>
          <w:rFonts w:asciiTheme="minorHAnsi" w:hAnsiTheme="minorHAnsi" w:cstheme="minorHAnsi"/>
          <w:szCs w:val="22"/>
        </w:rPr>
      </w:pPr>
    </w:p>
    <w:p w14:paraId="2B20FBFF" w14:textId="5D788E63" w:rsidR="00B37061" w:rsidRDefault="00B37061" w:rsidP="00B37061">
      <w:pPr>
        <w:pStyle w:val="Heading2"/>
        <w:numPr>
          <w:ilvl w:val="0"/>
          <w:numId w:val="1"/>
        </w:numPr>
      </w:pPr>
      <w:r>
        <w:t>There were a couple</w:t>
      </w:r>
      <w:r w:rsidR="00280317">
        <w:t xml:space="preserve"> of</w:t>
      </w:r>
      <w:r>
        <w:t xml:space="preserve"> comments </w:t>
      </w:r>
      <w:r w:rsidR="00E75D55">
        <w:t>stating</w:t>
      </w:r>
      <w:r>
        <w:t xml:space="preserve"> this policy may </w:t>
      </w:r>
      <w:r w:rsidR="00E75D55">
        <w:t>negatively affect</w:t>
      </w:r>
      <w:r>
        <w:t xml:space="preserve"> training eligibility</w:t>
      </w:r>
      <w:r w:rsidR="001D7AA2">
        <w:t xml:space="preserve"> and performance</w:t>
      </w:r>
      <w:r>
        <w:t xml:space="preserve">. </w:t>
      </w:r>
      <w:r w:rsidR="00D366AC">
        <w:t xml:space="preserve"> </w:t>
      </w:r>
      <w:r w:rsidR="00E75D55">
        <w:t xml:space="preserve">Specifically, if DWD-DET </w:t>
      </w:r>
      <w:r w:rsidR="000E11F7">
        <w:t>starts using</w:t>
      </w:r>
      <w:r w:rsidR="00E75D55">
        <w:t xml:space="preserve"> the </w:t>
      </w:r>
      <w:r w:rsidR="00CB3422" w:rsidRPr="006055CB">
        <w:rPr>
          <w:rFonts w:asciiTheme="minorHAnsi" w:hAnsiTheme="minorHAnsi" w:cstheme="minorHAnsi"/>
        </w:rPr>
        <w:t>"</w:t>
      </w:r>
      <w:hyperlink r:id="rId9" w:history="1">
        <w:r w:rsidR="00CB3422" w:rsidRPr="00B37061">
          <w:rPr>
            <w:rStyle w:val="Hyperlink"/>
            <w:rFonts w:asciiTheme="minorHAnsi" w:hAnsiTheme="minorHAnsi" w:cstheme="minorHAnsi"/>
            <w:szCs w:val="22"/>
          </w:rPr>
          <w:t>Low Income Guidance</w:t>
        </w:r>
      </w:hyperlink>
      <w:r w:rsidR="00CB3422" w:rsidRPr="00B37061">
        <w:rPr>
          <w:rStyle w:val="Hyperlink"/>
          <w:color w:val="365F91" w:themeColor="accent1" w:themeShade="BF"/>
          <w:szCs w:val="22"/>
          <w:u w:val="none"/>
        </w:rPr>
        <w:t>"</w:t>
      </w:r>
      <w:r w:rsidR="00CB3422" w:rsidRPr="006055CB">
        <w:rPr>
          <w:rFonts w:asciiTheme="minorHAnsi" w:hAnsiTheme="minorHAnsi" w:cstheme="minorHAnsi"/>
        </w:rPr>
        <w:t xml:space="preserve"> </w:t>
      </w:r>
      <w:r w:rsidR="00E75D55">
        <w:t>definition instead of the current Economic Self-Su</w:t>
      </w:r>
      <w:r w:rsidR="00CB3422">
        <w:t>fficiency</w:t>
      </w:r>
      <w:r w:rsidR="000E11F7">
        <w:t xml:space="preserve"> (ESS)</w:t>
      </w:r>
      <w:r w:rsidR="00E75D55">
        <w:t xml:space="preserve"> Calculator to determine eligibility for training services </w:t>
      </w:r>
      <w:r w:rsidR="000E11F7">
        <w:t>it</w:t>
      </w:r>
      <w:r w:rsidR="00CB3422">
        <w:t xml:space="preserve"> would decrease participants' ability to access WIOA</w:t>
      </w:r>
      <w:r w:rsidR="00C76469">
        <w:t>-</w:t>
      </w:r>
      <w:r w:rsidR="00CB3422">
        <w:t>funded training.</w:t>
      </w:r>
    </w:p>
    <w:p w14:paraId="7CA425C6" w14:textId="404A28BF" w:rsidR="00CB3422" w:rsidRDefault="00CB3422" w:rsidP="00CB3422"/>
    <w:p w14:paraId="69D87FAA" w14:textId="06411AA0" w:rsidR="00CB3422" w:rsidRPr="000E11F7" w:rsidRDefault="00CB3422" w:rsidP="00CB3422">
      <w:pPr>
        <w:ind w:left="720"/>
        <w:rPr>
          <w:rFonts w:asciiTheme="minorHAnsi" w:hAnsiTheme="minorHAnsi" w:cstheme="minorHAnsi"/>
          <w:szCs w:val="22"/>
        </w:rPr>
      </w:pPr>
      <w:r w:rsidRPr="000E11F7">
        <w:rPr>
          <w:rFonts w:asciiTheme="minorHAnsi" w:hAnsiTheme="minorHAnsi" w:cstheme="minorHAnsi"/>
          <w:szCs w:val="22"/>
        </w:rPr>
        <w:t xml:space="preserve">This policy does not change the eligibility criteria for training services, please see policy </w:t>
      </w:r>
      <w:hyperlink r:id="rId10" w:anchor="sectionOne" w:history="1">
        <w:r w:rsidRPr="000E11F7">
          <w:rPr>
            <w:rStyle w:val="Hyperlink"/>
            <w:rFonts w:asciiTheme="minorHAnsi" w:hAnsiTheme="minorHAnsi" w:cstheme="minorHAnsi"/>
            <w:szCs w:val="22"/>
          </w:rPr>
          <w:t>8.5.1</w:t>
        </w:r>
      </w:hyperlink>
      <w:r w:rsidRPr="000E11F7">
        <w:rPr>
          <w:rFonts w:asciiTheme="minorHAnsi" w:hAnsiTheme="minorHAnsi" w:cstheme="minorHAnsi"/>
          <w:szCs w:val="22"/>
        </w:rPr>
        <w:t xml:space="preserve"> in the Titles I-A and I-B Policy Manual for eligibility for training services. </w:t>
      </w:r>
      <w:r w:rsidR="000E11F7">
        <w:rPr>
          <w:rFonts w:asciiTheme="minorHAnsi" w:hAnsiTheme="minorHAnsi" w:cstheme="minorHAnsi"/>
          <w:szCs w:val="22"/>
        </w:rPr>
        <w:t>Career Planners</w:t>
      </w:r>
      <w:r w:rsidR="000E11F7" w:rsidRPr="000E11F7">
        <w:rPr>
          <w:rFonts w:asciiTheme="minorHAnsi" w:hAnsiTheme="minorHAnsi" w:cstheme="minorHAnsi"/>
          <w:szCs w:val="22"/>
        </w:rPr>
        <w:t xml:space="preserve"> should continue to use the ESS calculator to determine if the participant "</w:t>
      </w:r>
      <w:r w:rsidR="000E11F7" w:rsidRPr="000E11F7">
        <w:rPr>
          <w:rFonts w:asciiTheme="minorHAnsi" w:hAnsiTheme="minorHAnsi" w:cstheme="minorHAnsi"/>
          <w:color w:val="212529"/>
          <w:szCs w:val="22"/>
          <w:shd w:val="clear" w:color="auto" w:fill="FFFFFF"/>
        </w:rPr>
        <w:t>is in need of training services to obtain or retain employment that leads to </w:t>
      </w:r>
      <w:hyperlink r:id="rId11" w:anchor="sectionFour+ESSRequirements" w:tgtFrame="_blank" w:history="1">
        <w:r w:rsidR="000E11F7" w:rsidRPr="000E11F7">
          <w:rPr>
            <w:rStyle w:val="Hyperlink"/>
            <w:rFonts w:asciiTheme="minorHAnsi" w:hAnsiTheme="minorHAnsi" w:cstheme="minorHAnsi"/>
            <w:color w:val="0000CC"/>
            <w:szCs w:val="22"/>
            <w:shd w:val="clear" w:color="auto" w:fill="FFFFFF"/>
          </w:rPr>
          <w:t>economic self-sufficiency</w:t>
        </w:r>
      </w:hyperlink>
      <w:r w:rsidR="000E11F7" w:rsidRPr="000E11F7">
        <w:rPr>
          <w:rFonts w:asciiTheme="minorHAnsi" w:hAnsiTheme="minorHAnsi" w:cstheme="minorHAnsi"/>
          <w:color w:val="212529"/>
          <w:szCs w:val="22"/>
          <w:shd w:val="clear" w:color="auto" w:fill="FFFFFF"/>
        </w:rPr>
        <w:t> or wages comparable to or higher than wages from previous employment."</w:t>
      </w:r>
    </w:p>
    <w:p w14:paraId="369CD0CA" w14:textId="390295AC" w:rsidR="00D366AC" w:rsidRDefault="00D366AC" w:rsidP="00D366AC"/>
    <w:p w14:paraId="3334BB7B" w14:textId="13985114" w:rsidR="00D366AC" w:rsidRDefault="00D366AC" w:rsidP="00CE7299">
      <w:pPr>
        <w:pStyle w:val="Heading2"/>
        <w:numPr>
          <w:ilvl w:val="0"/>
          <w:numId w:val="1"/>
        </w:numPr>
      </w:pPr>
      <w:r>
        <w:t xml:space="preserve">There was a question as to how the </w:t>
      </w:r>
      <w:r w:rsidR="00CE7299">
        <w:t>policy</w:t>
      </w:r>
      <w:r>
        <w:t xml:space="preserve"> defines low</w:t>
      </w:r>
      <w:r w:rsidR="00280317">
        <w:t xml:space="preserve"> </w:t>
      </w:r>
      <w:r>
        <w:t>income</w:t>
      </w:r>
      <w:r w:rsidR="00CE7299">
        <w:t xml:space="preserve"> and if it is based on Federal Poverty Level or Lower Living Standard Income Level.</w:t>
      </w:r>
    </w:p>
    <w:p w14:paraId="3348F479" w14:textId="10D7A485" w:rsidR="00CE7299" w:rsidRDefault="00CE7299" w:rsidP="00CE7299"/>
    <w:p w14:paraId="3BCF3EA2" w14:textId="4CE29620" w:rsidR="00CE7299" w:rsidRDefault="00CE7299" w:rsidP="00CE7299">
      <w:pPr>
        <w:ind w:left="720"/>
        <w:rPr>
          <w:rFonts w:asciiTheme="minorHAnsi" w:hAnsiTheme="minorHAnsi" w:cstheme="minorHAnsi"/>
        </w:rPr>
      </w:pPr>
      <w:r w:rsidRPr="00CE7299">
        <w:rPr>
          <w:rFonts w:asciiTheme="minorHAnsi" w:hAnsiTheme="minorHAnsi" w:cstheme="minorHAnsi"/>
        </w:rPr>
        <w:t xml:space="preserve">DWD-DET </w:t>
      </w:r>
      <w:r>
        <w:rPr>
          <w:rFonts w:asciiTheme="minorHAnsi" w:hAnsiTheme="minorHAnsi" w:cstheme="minorHAnsi"/>
        </w:rPr>
        <w:t xml:space="preserve">defines low-income status based on the </w:t>
      </w:r>
      <w:bookmarkStart w:id="0" w:name="_Hlk130798404"/>
      <w:r w:rsidRPr="006055CB">
        <w:rPr>
          <w:rFonts w:asciiTheme="minorHAnsi" w:hAnsiTheme="minorHAnsi" w:cstheme="minorHAnsi"/>
        </w:rPr>
        <w:t>"</w:t>
      </w:r>
      <w:hyperlink r:id="rId12" w:history="1">
        <w:r w:rsidRPr="00B37061">
          <w:rPr>
            <w:rStyle w:val="Hyperlink"/>
            <w:rFonts w:asciiTheme="minorHAnsi" w:hAnsiTheme="minorHAnsi" w:cstheme="minorHAnsi"/>
            <w:szCs w:val="22"/>
          </w:rPr>
          <w:t>Low Income Guidance</w:t>
        </w:r>
      </w:hyperlink>
      <w:r w:rsidRPr="00B37061">
        <w:rPr>
          <w:rStyle w:val="Hyperlink"/>
          <w:color w:val="365F91" w:themeColor="accent1" w:themeShade="BF"/>
          <w:szCs w:val="22"/>
          <w:u w:val="none"/>
        </w:rPr>
        <w:t>"</w:t>
      </w:r>
      <w:r w:rsidRPr="006055CB">
        <w:rPr>
          <w:rFonts w:asciiTheme="minorHAnsi" w:hAnsiTheme="minorHAnsi" w:cstheme="minorHAnsi"/>
        </w:rPr>
        <w:t xml:space="preserve"> </w:t>
      </w:r>
      <w:bookmarkEnd w:id="0"/>
      <w:r>
        <w:rPr>
          <w:rFonts w:asciiTheme="minorHAnsi" w:hAnsiTheme="minorHAnsi" w:cstheme="minorHAnsi"/>
        </w:rPr>
        <w:t>in</w:t>
      </w:r>
      <w:r w:rsidRPr="006055CB">
        <w:rPr>
          <w:rFonts w:asciiTheme="minorHAnsi" w:hAnsiTheme="minorHAnsi" w:cstheme="minorHAnsi"/>
        </w:rPr>
        <w:t xml:space="preserve"> the Titles I-A and I-B Policy Manual</w:t>
      </w:r>
      <w:r>
        <w:rPr>
          <w:rFonts w:asciiTheme="minorHAnsi" w:hAnsiTheme="minorHAnsi" w:cstheme="minorHAnsi"/>
        </w:rPr>
        <w:t>.</w:t>
      </w:r>
    </w:p>
    <w:p w14:paraId="7A0A3D42" w14:textId="75DD0023" w:rsidR="009A0221" w:rsidRDefault="009A0221" w:rsidP="00A62387">
      <w:pPr>
        <w:rPr>
          <w:rFonts w:asciiTheme="minorHAnsi" w:hAnsiTheme="minorHAnsi" w:cstheme="minorHAnsi"/>
        </w:rPr>
      </w:pPr>
    </w:p>
    <w:p w14:paraId="3A5B45F6" w14:textId="68D76237" w:rsidR="009A0221" w:rsidRDefault="001A6860" w:rsidP="007B2279">
      <w:pPr>
        <w:pStyle w:val="Heading2"/>
        <w:numPr>
          <w:ilvl w:val="0"/>
          <w:numId w:val="1"/>
        </w:numPr>
      </w:pPr>
      <w:r w:rsidRPr="007B2279">
        <w:lastRenderedPageBreak/>
        <w:t xml:space="preserve">There were a couple </w:t>
      </w:r>
      <w:r w:rsidR="00C76469">
        <w:t xml:space="preserve">of </w:t>
      </w:r>
      <w:r w:rsidRPr="007B2279">
        <w:t>comments requesting DWD-DET</w:t>
      </w:r>
      <w:r w:rsidR="007B2279" w:rsidRPr="007B2279">
        <w:t xml:space="preserve"> </w:t>
      </w:r>
      <w:r w:rsidR="00C2523E">
        <w:t xml:space="preserve">to </w:t>
      </w:r>
      <w:r w:rsidRPr="007B2279">
        <w:t xml:space="preserve">adjust the benchmark based on each WDAs' program performance, </w:t>
      </w:r>
      <w:r w:rsidR="007B2279" w:rsidRPr="007B2279">
        <w:t>economic conditions, median income</w:t>
      </w:r>
      <w:r w:rsidR="00455E43">
        <w:t>,</w:t>
      </w:r>
      <w:r w:rsidR="007B2279" w:rsidRPr="007B2279">
        <w:t xml:space="preserve"> and demographic composition. One commente</w:t>
      </w:r>
      <w:r w:rsidR="007B2279">
        <w:t>r</w:t>
      </w:r>
      <w:r w:rsidR="00455E43">
        <w:t xml:space="preserve"> </w:t>
      </w:r>
      <w:r w:rsidR="007B2279">
        <w:t>recommended changing the policy from</w:t>
      </w:r>
      <w:r w:rsidR="007D288B">
        <w:t xml:space="preserve"> "</w:t>
      </w:r>
      <w:r w:rsidR="007D288B" w:rsidRPr="007D288B">
        <w:t xml:space="preserve">DWD-DET </w:t>
      </w:r>
      <w:r w:rsidR="007D288B" w:rsidRPr="007D288B">
        <w:rPr>
          <w:b/>
          <w:bCs/>
        </w:rPr>
        <w:t>requires</w:t>
      </w:r>
      <w:r w:rsidR="007D288B">
        <w:t xml:space="preserve"> </w:t>
      </w:r>
      <w:r w:rsidR="007D288B" w:rsidRPr="007D288B">
        <w:t>that each local WDBs meet or exceed the minimum rate of 50.1 percent of participants in the Adult Program are from at least one of the above priority groups throughout their are</w:t>
      </w:r>
      <w:r w:rsidR="007D288B">
        <w:t>a," to "</w:t>
      </w:r>
      <w:r w:rsidR="007D288B" w:rsidRPr="007D288B">
        <w:t xml:space="preserve">DWD-DET </w:t>
      </w:r>
      <w:r w:rsidR="007D288B" w:rsidRPr="007D288B">
        <w:rPr>
          <w:b/>
          <w:bCs/>
        </w:rPr>
        <w:t>expects</w:t>
      </w:r>
      <w:r w:rsidR="007D288B" w:rsidRPr="007D288B">
        <w:t xml:space="preserve"> that each local WDBs meet or exceed the minimum rate of 50.1 percent of participants in the Adult Program are from at least one of the above priority groups throughout their are</w:t>
      </w:r>
      <w:r w:rsidR="007D288B">
        <w:t>a."</w:t>
      </w:r>
    </w:p>
    <w:p w14:paraId="590B1C67" w14:textId="35A01E6E" w:rsidR="007D288B" w:rsidRDefault="007D288B" w:rsidP="007D288B"/>
    <w:p w14:paraId="7F833958" w14:textId="62B69065" w:rsidR="007D288B" w:rsidRDefault="007D288B" w:rsidP="007D288B">
      <w:pPr>
        <w:ind w:left="720"/>
        <w:rPr>
          <w:rFonts w:asciiTheme="minorHAnsi" w:hAnsiTheme="minorHAnsi" w:cstheme="minorHAnsi"/>
          <w:szCs w:val="22"/>
        </w:rPr>
      </w:pPr>
      <w:r>
        <w:rPr>
          <w:rFonts w:asciiTheme="minorHAnsi" w:hAnsiTheme="minorHAnsi" w:cstheme="minorHAnsi"/>
          <w:szCs w:val="22"/>
        </w:rPr>
        <w:t xml:space="preserve">According to the BI Launchpad report, "Title 1 Adult Priority Groups" ten of the eleven WDAs are currently exceeding the </w:t>
      </w:r>
      <w:r w:rsidR="006011AF">
        <w:rPr>
          <w:rFonts w:asciiTheme="minorHAnsi" w:hAnsiTheme="minorHAnsi" w:cstheme="minorHAnsi"/>
          <w:szCs w:val="22"/>
        </w:rPr>
        <w:t>expected</w:t>
      </w:r>
      <w:r>
        <w:rPr>
          <w:rFonts w:asciiTheme="minorHAnsi" w:hAnsiTheme="minorHAnsi" w:cstheme="minorHAnsi"/>
          <w:szCs w:val="22"/>
        </w:rPr>
        <w:t xml:space="preserve"> 50.1 percent benchmark</w:t>
      </w:r>
      <w:r w:rsidRPr="00455E43">
        <w:rPr>
          <w:rFonts w:asciiTheme="minorHAnsi" w:hAnsiTheme="minorHAnsi" w:cstheme="minorHAnsi"/>
          <w:szCs w:val="22"/>
        </w:rPr>
        <w:t xml:space="preserve">. </w:t>
      </w:r>
      <w:r w:rsidR="00455E43" w:rsidRPr="00455E43">
        <w:rPr>
          <w:rFonts w:asciiTheme="minorHAnsi" w:hAnsiTheme="minorHAnsi" w:cstheme="minorHAnsi"/>
          <w:szCs w:val="22"/>
        </w:rPr>
        <w:t xml:space="preserve"> </w:t>
      </w:r>
      <w:hyperlink r:id="rId13" w:history="1">
        <w:r w:rsidR="00455E43" w:rsidRPr="00455E43">
          <w:rPr>
            <w:rStyle w:val="Hyperlink"/>
            <w:rFonts w:asciiTheme="minorHAnsi" w:hAnsiTheme="minorHAnsi" w:cstheme="minorHAnsi"/>
            <w:szCs w:val="22"/>
          </w:rPr>
          <w:t>TEGL 7-20</w:t>
        </w:r>
      </w:hyperlink>
      <w:r w:rsidR="00455E43" w:rsidRPr="00455E43">
        <w:rPr>
          <w:rStyle w:val="Hyperlink"/>
          <w:rFonts w:asciiTheme="minorHAnsi" w:hAnsiTheme="minorHAnsi" w:cstheme="minorHAnsi"/>
          <w:szCs w:val="22"/>
        </w:rPr>
        <w:t xml:space="preserve"> </w:t>
      </w:r>
      <w:r w:rsidR="00455E43" w:rsidRPr="00455E43">
        <w:rPr>
          <w:rFonts w:asciiTheme="minorHAnsi" w:hAnsiTheme="minorHAnsi" w:cstheme="minorHAnsi"/>
          <w:szCs w:val="22"/>
        </w:rPr>
        <w:t>does not make an allowance for states to negotiate the expected 50.1 percent benchmark.</w:t>
      </w:r>
    </w:p>
    <w:p w14:paraId="5ABC2924" w14:textId="683BDB0E" w:rsidR="007D288B" w:rsidRDefault="007D288B" w:rsidP="007D288B">
      <w:pPr>
        <w:ind w:left="720"/>
      </w:pPr>
    </w:p>
    <w:p w14:paraId="55A343A0" w14:textId="6857AE3F" w:rsidR="00CE7299" w:rsidRPr="00455E43" w:rsidRDefault="007D288B" w:rsidP="00455E43">
      <w:pPr>
        <w:ind w:left="720"/>
        <w:rPr>
          <w:rFonts w:asciiTheme="minorHAnsi" w:hAnsiTheme="minorHAnsi" w:cstheme="minorHAnsi"/>
        </w:rPr>
      </w:pPr>
      <w:r w:rsidRPr="00455E43">
        <w:rPr>
          <w:rFonts w:asciiTheme="minorHAnsi" w:hAnsiTheme="minorHAnsi" w:cstheme="minorHAnsi"/>
        </w:rPr>
        <w:t>DWD-DET appreciates the feedback regarding changing the verbiage from "requires" to "expects." The policy has been updated based on the feedback.</w:t>
      </w:r>
    </w:p>
    <w:p w14:paraId="68886183" w14:textId="5311D008" w:rsidR="009A0221" w:rsidRDefault="009A0221" w:rsidP="00CE7299"/>
    <w:p w14:paraId="6D669CE5" w14:textId="0FC383CD" w:rsidR="009A0221" w:rsidRPr="00091C3A" w:rsidRDefault="00FA76F3" w:rsidP="00091C3A">
      <w:pPr>
        <w:pStyle w:val="Heading2"/>
        <w:numPr>
          <w:ilvl w:val="0"/>
          <w:numId w:val="1"/>
        </w:numPr>
        <w:rPr>
          <w:rFonts w:ascii="Arial" w:hAnsi="Arial" w:cs="Times New Roman"/>
          <w:szCs w:val="20"/>
        </w:rPr>
      </w:pPr>
      <w:r>
        <w:t xml:space="preserve">There was a concern </w:t>
      </w:r>
      <w:r w:rsidR="00280317">
        <w:t>about</w:t>
      </w:r>
      <w:r>
        <w:t xml:space="preserve"> the lack of adult</w:t>
      </w:r>
      <w:r w:rsidR="00091C3A">
        <w:t>s</w:t>
      </w:r>
      <w:r>
        <w:t xml:space="preserve"> who meet the definition of</w:t>
      </w:r>
      <w:r w:rsidRPr="002B0C79">
        <w:t xml:space="preserve"> </w:t>
      </w:r>
      <w:r w:rsidRPr="00091C3A">
        <w:t>basic skills deficien</w:t>
      </w:r>
      <w:r w:rsidR="00091C3A" w:rsidRPr="00091C3A">
        <w:t>cy.</w:t>
      </w:r>
      <w:r w:rsidR="00091C3A">
        <w:rPr>
          <w:b/>
          <w:bCs/>
        </w:rPr>
        <w:t xml:space="preserve">  </w:t>
      </w:r>
      <w:r w:rsidR="00091C3A">
        <w:t>The comment states "t</w:t>
      </w:r>
      <w:r w:rsidRPr="002B0C79">
        <w:t>his has the potential to lead to missed opportunities to serve those who need services in order to meet benchmarks and not performance goals.</w:t>
      </w:r>
      <w:r w:rsidR="00091C3A">
        <w:t>"</w:t>
      </w:r>
    </w:p>
    <w:p w14:paraId="2595DF2F" w14:textId="6AD487EF" w:rsidR="00091C3A" w:rsidRDefault="00091C3A" w:rsidP="00091C3A"/>
    <w:p w14:paraId="3936F77F" w14:textId="3FD7B37F" w:rsidR="00091C3A" w:rsidRDefault="00091C3A" w:rsidP="00091C3A">
      <w:pPr>
        <w:ind w:left="720"/>
        <w:rPr>
          <w:rFonts w:asciiTheme="minorHAnsi" w:hAnsiTheme="minorHAnsi" w:cstheme="minorHAnsi"/>
          <w:szCs w:val="22"/>
        </w:rPr>
      </w:pPr>
      <w:r w:rsidRPr="00091C3A">
        <w:rPr>
          <w:rFonts w:asciiTheme="minorHAnsi" w:hAnsiTheme="minorHAnsi" w:cstheme="minorHAnsi"/>
        </w:rPr>
        <w:t>Basic Skills deficiency is one criterion to meet the benchmark for this policy</w:t>
      </w:r>
      <w:r w:rsidR="00A62387">
        <w:rPr>
          <w:rFonts w:asciiTheme="minorHAnsi" w:hAnsiTheme="minorHAnsi" w:cstheme="minorHAnsi"/>
        </w:rPr>
        <w:t>. A</w:t>
      </w:r>
      <w:r>
        <w:rPr>
          <w:rFonts w:asciiTheme="minorHAnsi" w:hAnsiTheme="minorHAnsi" w:cstheme="minorHAnsi"/>
          <w:szCs w:val="22"/>
        </w:rPr>
        <w:t>ccording to the BI Launchpad report</w:t>
      </w:r>
      <w:r w:rsidR="00280317">
        <w:rPr>
          <w:rFonts w:asciiTheme="minorHAnsi" w:hAnsiTheme="minorHAnsi" w:cstheme="minorHAnsi"/>
          <w:szCs w:val="22"/>
        </w:rPr>
        <w:t>,</w:t>
      </w:r>
      <w:r>
        <w:rPr>
          <w:rFonts w:asciiTheme="minorHAnsi" w:hAnsiTheme="minorHAnsi" w:cstheme="minorHAnsi"/>
          <w:szCs w:val="22"/>
        </w:rPr>
        <w:t xml:space="preserve"> "Title 1 Adult Priority Groups" ten of the eleven WDAs are currently exceeding the </w:t>
      </w:r>
      <w:r w:rsidR="006011AF">
        <w:rPr>
          <w:rFonts w:asciiTheme="minorHAnsi" w:hAnsiTheme="minorHAnsi" w:cstheme="minorHAnsi"/>
          <w:szCs w:val="22"/>
        </w:rPr>
        <w:t xml:space="preserve">expected </w:t>
      </w:r>
      <w:r>
        <w:rPr>
          <w:rFonts w:asciiTheme="minorHAnsi" w:hAnsiTheme="minorHAnsi" w:cstheme="minorHAnsi"/>
          <w:szCs w:val="22"/>
        </w:rPr>
        <w:t>50.1 percent</w:t>
      </w:r>
      <w:r w:rsidR="00A62387">
        <w:rPr>
          <w:rFonts w:asciiTheme="minorHAnsi" w:hAnsiTheme="minorHAnsi" w:cstheme="minorHAnsi"/>
          <w:szCs w:val="22"/>
        </w:rPr>
        <w:t xml:space="preserve"> </w:t>
      </w:r>
      <w:r w:rsidR="0040309B">
        <w:rPr>
          <w:rFonts w:asciiTheme="minorHAnsi" w:hAnsiTheme="minorHAnsi" w:cstheme="minorHAnsi"/>
          <w:szCs w:val="22"/>
        </w:rPr>
        <w:t xml:space="preserve">benchmark </w:t>
      </w:r>
      <w:r w:rsidR="00A62387">
        <w:rPr>
          <w:rFonts w:asciiTheme="minorHAnsi" w:hAnsiTheme="minorHAnsi" w:cstheme="minorHAnsi"/>
          <w:szCs w:val="22"/>
        </w:rPr>
        <w:t xml:space="preserve">when calculating all three criteria. </w:t>
      </w:r>
    </w:p>
    <w:p w14:paraId="0F143A31" w14:textId="160932DC" w:rsidR="00091C3A" w:rsidRDefault="00091C3A" w:rsidP="00091C3A">
      <w:pPr>
        <w:ind w:left="720"/>
        <w:rPr>
          <w:rFonts w:asciiTheme="minorHAnsi" w:hAnsiTheme="minorHAnsi" w:cstheme="minorHAnsi"/>
          <w:szCs w:val="22"/>
        </w:rPr>
      </w:pPr>
    </w:p>
    <w:p w14:paraId="072C75A0" w14:textId="48F7984B" w:rsidR="009A0221" w:rsidRDefault="00091C3A" w:rsidP="00091C3A">
      <w:pPr>
        <w:ind w:left="720"/>
        <w:rPr>
          <w:rFonts w:asciiTheme="minorHAnsi" w:hAnsiTheme="minorHAnsi" w:cstheme="minorHAnsi"/>
          <w:szCs w:val="22"/>
        </w:rPr>
      </w:pPr>
      <w:r>
        <w:rPr>
          <w:rFonts w:asciiTheme="minorHAnsi" w:hAnsiTheme="minorHAnsi" w:cstheme="minorHAnsi"/>
          <w:szCs w:val="22"/>
        </w:rPr>
        <w:t xml:space="preserve">This policy should not be used to determine eligibility for the Adult Program. Please see policy </w:t>
      </w:r>
      <w:hyperlink r:id="rId14" w:anchor="sectionOne" w:history="1">
        <w:r w:rsidRPr="00B37061">
          <w:rPr>
            <w:rStyle w:val="Hyperlink"/>
            <w:rFonts w:asciiTheme="minorHAnsi" w:hAnsiTheme="minorHAnsi" w:cstheme="minorHAnsi"/>
            <w:szCs w:val="22"/>
          </w:rPr>
          <w:t>8.2.1</w:t>
        </w:r>
      </w:hyperlink>
      <w:r>
        <w:rPr>
          <w:rFonts w:asciiTheme="minorHAnsi" w:hAnsiTheme="minorHAnsi" w:cstheme="minorHAnsi"/>
          <w:szCs w:val="22"/>
        </w:rPr>
        <w:t xml:space="preserve"> </w:t>
      </w:r>
      <w:r>
        <w:rPr>
          <w:rFonts w:asciiTheme="minorHAnsi" w:hAnsiTheme="minorHAnsi" w:cstheme="minorHAnsi"/>
        </w:rPr>
        <w:t>in</w:t>
      </w:r>
      <w:r w:rsidRPr="006055CB">
        <w:rPr>
          <w:rFonts w:asciiTheme="minorHAnsi" w:hAnsiTheme="minorHAnsi" w:cstheme="minorHAnsi"/>
        </w:rPr>
        <w:t xml:space="preserve"> the Titles I-A and I-B Policy Manual</w:t>
      </w:r>
      <w:r>
        <w:rPr>
          <w:rFonts w:asciiTheme="minorHAnsi" w:hAnsiTheme="minorHAnsi" w:cstheme="minorHAnsi"/>
          <w:szCs w:val="22"/>
        </w:rPr>
        <w:t xml:space="preserve"> for the Adult Program eligibility.</w:t>
      </w:r>
      <w:r w:rsidR="00ED7111">
        <w:rPr>
          <w:rFonts w:asciiTheme="minorHAnsi" w:hAnsiTheme="minorHAnsi" w:cstheme="minorHAnsi"/>
          <w:szCs w:val="22"/>
        </w:rPr>
        <w:t xml:space="preserve"> This policy should also not be used to determine eligibility for funding training</w:t>
      </w:r>
      <w:r w:rsidR="00540D7C">
        <w:rPr>
          <w:rFonts w:asciiTheme="minorHAnsi" w:hAnsiTheme="minorHAnsi" w:cstheme="minorHAnsi"/>
          <w:szCs w:val="22"/>
        </w:rPr>
        <w:t xml:space="preserve"> in</w:t>
      </w:r>
      <w:r w:rsidR="00ED7111">
        <w:rPr>
          <w:rFonts w:asciiTheme="minorHAnsi" w:hAnsiTheme="minorHAnsi" w:cstheme="minorHAnsi"/>
          <w:szCs w:val="22"/>
        </w:rPr>
        <w:t xml:space="preserve"> the Adult program. </w:t>
      </w:r>
      <w:r w:rsidR="00766E96">
        <w:rPr>
          <w:rFonts w:asciiTheme="minorHAnsi" w:hAnsiTheme="minorHAnsi" w:cstheme="minorHAnsi"/>
          <w:szCs w:val="22"/>
        </w:rPr>
        <w:t xml:space="preserve">Please see policy </w:t>
      </w:r>
      <w:hyperlink r:id="rId15" w:anchor="sectionOne" w:history="1">
        <w:r w:rsidR="00766E96">
          <w:rPr>
            <w:rStyle w:val="Hyperlink"/>
            <w:rFonts w:asciiTheme="minorHAnsi" w:hAnsiTheme="minorHAnsi" w:cstheme="minorHAnsi"/>
            <w:szCs w:val="22"/>
          </w:rPr>
          <w:t>8.5.1</w:t>
        </w:r>
      </w:hyperlink>
      <w:r w:rsidR="00766E96">
        <w:rPr>
          <w:rFonts w:asciiTheme="minorHAnsi" w:hAnsiTheme="minorHAnsi" w:cstheme="minorHAnsi"/>
          <w:szCs w:val="22"/>
        </w:rPr>
        <w:t xml:space="preserve"> </w:t>
      </w:r>
      <w:r w:rsidR="00766E96">
        <w:rPr>
          <w:rFonts w:asciiTheme="minorHAnsi" w:hAnsiTheme="minorHAnsi" w:cstheme="minorHAnsi"/>
        </w:rPr>
        <w:t>in</w:t>
      </w:r>
      <w:r w:rsidR="00766E96" w:rsidRPr="006055CB">
        <w:rPr>
          <w:rFonts w:asciiTheme="minorHAnsi" w:hAnsiTheme="minorHAnsi" w:cstheme="minorHAnsi"/>
        </w:rPr>
        <w:t xml:space="preserve"> the Titles I-A and I-B Policy Manual</w:t>
      </w:r>
      <w:r w:rsidR="00766E96">
        <w:rPr>
          <w:rFonts w:asciiTheme="minorHAnsi" w:hAnsiTheme="minorHAnsi" w:cstheme="minorHAnsi"/>
          <w:szCs w:val="22"/>
        </w:rPr>
        <w:t xml:space="preserve"> for eligibility for training services.</w:t>
      </w:r>
    </w:p>
    <w:p w14:paraId="5D9A6184" w14:textId="1A7108EA" w:rsidR="002602D0" w:rsidRDefault="002602D0" w:rsidP="00091C3A">
      <w:pPr>
        <w:ind w:left="720"/>
        <w:rPr>
          <w:rFonts w:asciiTheme="minorHAnsi" w:hAnsiTheme="minorHAnsi" w:cstheme="minorHAnsi"/>
          <w:szCs w:val="22"/>
        </w:rPr>
      </w:pPr>
    </w:p>
    <w:p w14:paraId="370FD317" w14:textId="77777777" w:rsidR="001E324A" w:rsidRPr="00230816" w:rsidRDefault="001E324A" w:rsidP="001E324A">
      <w:pPr>
        <w:ind w:left="720"/>
        <w:rPr>
          <w:rFonts w:asciiTheme="minorHAnsi" w:hAnsiTheme="minorHAnsi" w:cstheme="minorHAnsi"/>
          <w:szCs w:val="22"/>
        </w:rPr>
      </w:pPr>
      <w:r>
        <w:rPr>
          <w:rFonts w:asciiTheme="minorHAnsi" w:hAnsiTheme="minorHAnsi" w:cstheme="minorHAnsi"/>
          <w:szCs w:val="22"/>
        </w:rPr>
        <w:t>DOL's vision is to maximize the resources of the workforce system to "</w:t>
      </w:r>
      <w:r w:rsidRPr="00DB59DA">
        <w:rPr>
          <w:rFonts w:asciiTheme="minorHAnsi" w:hAnsiTheme="minorHAnsi" w:cstheme="minorHAnsi"/>
          <w:szCs w:val="22"/>
        </w:rPr>
        <w:t>serve adults most in need of assistance from the</w:t>
      </w:r>
      <w:r>
        <w:rPr>
          <w:rFonts w:asciiTheme="minorHAnsi" w:hAnsiTheme="minorHAnsi" w:cstheme="minorHAnsi"/>
          <w:szCs w:val="22"/>
        </w:rPr>
        <w:t xml:space="preserve"> </w:t>
      </w:r>
      <w:r w:rsidRPr="00DB59DA">
        <w:rPr>
          <w:rFonts w:asciiTheme="minorHAnsi" w:hAnsiTheme="minorHAnsi" w:cstheme="minorHAnsi"/>
          <w:szCs w:val="22"/>
        </w:rPr>
        <w:t>public workforce system</w:t>
      </w:r>
      <w:r>
        <w:rPr>
          <w:rFonts w:asciiTheme="minorHAnsi" w:hAnsiTheme="minorHAnsi" w:cstheme="minorHAnsi"/>
          <w:szCs w:val="22"/>
        </w:rPr>
        <w:t xml:space="preserve">." DWD-DET encourages WDBs to utilize the outreach, training, and coordination suggestions in </w:t>
      </w:r>
      <w:hyperlink r:id="rId16" w:history="1">
        <w:r w:rsidRPr="00455E43">
          <w:rPr>
            <w:rStyle w:val="Hyperlink"/>
            <w:rFonts w:asciiTheme="minorHAnsi" w:hAnsiTheme="minorHAnsi" w:cstheme="minorHAnsi"/>
            <w:szCs w:val="22"/>
          </w:rPr>
          <w:t>TEGL 7-20</w:t>
        </w:r>
      </w:hyperlink>
      <w:r>
        <w:rPr>
          <w:rStyle w:val="Hyperlink"/>
          <w:rFonts w:asciiTheme="minorHAnsi" w:hAnsiTheme="minorHAnsi" w:cstheme="minorHAnsi"/>
          <w:szCs w:val="22"/>
        </w:rPr>
        <w:t xml:space="preserve"> </w:t>
      </w:r>
      <w:r>
        <w:rPr>
          <w:rFonts w:asciiTheme="minorHAnsi" w:hAnsiTheme="minorHAnsi" w:cstheme="minorHAnsi"/>
          <w:szCs w:val="22"/>
        </w:rPr>
        <w:t>to increase the WDB's percentage of individuals in the three priority groups listed in the policy.</w:t>
      </w:r>
    </w:p>
    <w:p w14:paraId="26CCCE5F" w14:textId="1A15DBA5" w:rsidR="009A0221" w:rsidRDefault="009A0221" w:rsidP="00CE7299"/>
    <w:p w14:paraId="53980735" w14:textId="78685017" w:rsidR="009A0221" w:rsidRDefault="009A0221" w:rsidP="009A0221">
      <w:pPr>
        <w:pStyle w:val="Heading2"/>
        <w:numPr>
          <w:ilvl w:val="0"/>
          <w:numId w:val="1"/>
        </w:numPr>
      </w:pPr>
      <w:r>
        <w:t>One comment</w:t>
      </w:r>
      <w:r w:rsidR="00280317">
        <w:t>e</w:t>
      </w:r>
      <w:r>
        <w:t>r asked how local areas will ensure the benchmark is achieved.</w:t>
      </w:r>
    </w:p>
    <w:p w14:paraId="54D57392" w14:textId="1BBF9390" w:rsidR="00FE4FD6" w:rsidRDefault="00FE4FD6" w:rsidP="00FE4FD6"/>
    <w:p w14:paraId="1F8CC7E4" w14:textId="112AF321" w:rsidR="00FE4FD6" w:rsidRPr="00FE4FD6" w:rsidRDefault="00983A26" w:rsidP="00FE4FD6">
      <w:pPr>
        <w:ind w:left="720"/>
        <w:rPr>
          <w:rFonts w:asciiTheme="minorHAnsi" w:hAnsiTheme="minorHAnsi" w:cstheme="minorHAnsi"/>
        </w:rPr>
      </w:pPr>
      <w:r>
        <w:rPr>
          <w:rFonts w:asciiTheme="minorHAnsi" w:hAnsiTheme="minorHAnsi" w:cstheme="minorHAnsi"/>
        </w:rPr>
        <w:t>WDBs</w:t>
      </w:r>
      <w:r w:rsidR="00FE4FD6">
        <w:rPr>
          <w:rFonts w:asciiTheme="minorHAnsi" w:hAnsiTheme="minorHAnsi" w:cstheme="minorHAnsi"/>
        </w:rPr>
        <w:t xml:space="preserve"> can </w:t>
      </w:r>
      <w:r w:rsidR="006209A0">
        <w:rPr>
          <w:rFonts w:asciiTheme="minorHAnsi" w:hAnsiTheme="minorHAnsi" w:cstheme="minorHAnsi"/>
        </w:rPr>
        <w:t>self-</w:t>
      </w:r>
      <w:r w:rsidR="00FE4FD6">
        <w:rPr>
          <w:rFonts w:asciiTheme="minorHAnsi" w:hAnsiTheme="minorHAnsi" w:cstheme="minorHAnsi"/>
        </w:rPr>
        <w:t xml:space="preserve">monitor their </w:t>
      </w:r>
      <w:r w:rsidR="006209A0">
        <w:rPr>
          <w:rFonts w:asciiTheme="minorHAnsi" w:hAnsiTheme="minorHAnsi" w:cstheme="minorHAnsi"/>
        </w:rPr>
        <w:t xml:space="preserve">progress toward </w:t>
      </w:r>
      <w:r w:rsidR="00FE4FD6">
        <w:rPr>
          <w:rFonts w:asciiTheme="minorHAnsi" w:hAnsiTheme="minorHAnsi" w:cstheme="minorHAnsi"/>
        </w:rPr>
        <w:t>achiev</w:t>
      </w:r>
      <w:r w:rsidR="006209A0">
        <w:rPr>
          <w:rFonts w:asciiTheme="minorHAnsi" w:hAnsiTheme="minorHAnsi" w:cstheme="minorHAnsi"/>
        </w:rPr>
        <w:t>ing the benchmark</w:t>
      </w:r>
      <w:r w:rsidR="00FE4FD6">
        <w:rPr>
          <w:rFonts w:asciiTheme="minorHAnsi" w:hAnsiTheme="minorHAnsi" w:cstheme="minorHAnsi"/>
        </w:rPr>
        <w:t xml:space="preserve"> </w:t>
      </w:r>
      <w:r w:rsidR="006209A0">
        <w:rPr>
          <w:rFonts w:asciiTheme="minorHAnsi" w:hAnsiTheme="minorHAnsi" w:cstheme="minorHAnsi"/>
        </w:rPr>
        <w:t xml:space="preserve">by regularly pulling the </w:t>
      </w:r>
      <w:r w:rsidR="00FE4FD6">
        <w:rPr>
          <w:rFonts w:asciiTheme="minorHAnsi" w:hAnsiTheme="minorHAnsi" w:cstheme="minorHAnsi"/>
          <w:szCs w:val="22"/>
        </w:rPr>
        <w:t>BI Launchpad report, "Title 1 Adult Priority Groups."</w:t>
      </w:r>
      <w:r w:rsidR="006209A0">
        <w:rPr>
          <w:rFonts w:asciiTheme="minorHAnsi" w:hAnsiTheme="minorHAnsi" w:cstheme="minorHAnsi"/>
          <w:szCs w:val="22"/>
        </w:rPr>
        <w:t xml:space="preserve"> If changes are needed, the WDBs are encouraged to utilize the recommendations cited below from </w:t>
      </w:r>
      <w:hyperlink r:id="rId17" w:history="1">
        <w:r w:rsidR="006209A0" w:rsidRPr="006209A0">
          <w:rPr>
            <w:rStyle w:val="Hyperlink"/>
            <w:rFonts w:asciiTheme="minorHAnsi" w:hAnsiTheme="minorHAnsi" w:cstheme="minorHAnsi"/>
            <w:szCs w:val="22"/>
          </w:rPr>
          <w:t>TEGL 7-20</w:t>
        </w:r>
      </w:hyperlink>
      <w:r w:rsidR="006209A0">
        <w:rPr>
          <w:rFonts w:asciiTheme="minorHAnsi" w:hAnsiTheme="minorHAnsi" w:cstheme="minorHAnsi"/>
          <w:szCs w:val="22"/>
        </w:rPr>
        <w:t>.</w:t>
      </w:r>
    </w:p>
    <w:p w14:paraId="36A82BB2" w14:textId="77777777" w:rsidR="006A242B" w:rsidRDefault="006A242B" w:rsidP="00FE4FD6">
      <w:pPr>
        <w:ind w:left="720"/>
      </w:pPr>
    </w:p>
    <w:p w14:paraId="62EE9581" w14:textId="6DE25FB9" w:rsidR="00CC248F" w:rsidRPr="00455E43" w:rsidRDefault="00000000" w:rsidP="00CC248F">
      <w:pPr>
        <w:pStyle w:val="Default"/>
        <w:ind w:left="720"/>
        <w:rPr>
          <w:rFonts w:asciiTheme="minorHAnsi" w:hAnsiTheme="minorHAnsi" w:cstheme="minorHAnsi"/>
          <w:sz w:val="22"/>
          <w:szCs w:val="22"/>
        </w:rPr>
      </w:pPr>
      <w:hyperlink r:id="rId18" w:history="1">
        <w:r w:rsidR="00CC248F" w:rsidRPr="00455E43">
          <w:rPr>
            <w:rStyle w:val="Hyperlink"/>
            <w:rFonts w:asciiTheme="minorHAnsi" w:hAnsiTheme="minorHAnsi" w:cstheme="minorHAnsi"/>
            <w:sz w:val="22"/>
            <w:szCs w:val="22"/>
          </w:rPr>
          <w:t>TEGL 7-20</w:t>
        </w:r>
      </w:hyperlink>
      <w:r w:rsidR="00CC248F" w:rsidRPr="00455E43">
        <w:rPr>
          <w:rFonts w:asciiTheme="minorHAnsi" w:hAnsiTheme="minorHAnsi" w:cstheme="minorHAnsi"/>
          <w:sz w:val="22"/>
          <w:szCs w:val="22"/>
        </w:rPr>
        <w:t xml:space="preserve"> provides actions to improve efforts to serv</w:t>
      </w:r>
      <w:r w:rsidR="00A143AD">
        <w:rPr>
          <w:rFonts w:asciiTheme="minorHAnsi" w:hAnsiTheme="minorHAnsi" w:cstheme="minorHAnsi"/>
          <w:sz w:val="22"/>
          <w:szCs w:val="22"/>
        </w:rPr>
        <w:t>e</w:t>
      </w:r>
      <w:r w:rsidR="00CC248F" w:rsidRPr="00455E43">
        <w:rPr>
          <w:rFonts w:asciiTheme="minorHAnsi" w:hAnsiTheme="minorHAnsi" w:cstheme="minorHAnsi"/>
          <w:sz w:val="22"/>
          <w:szCs w:val="22"/>
        </w:rPr>
        <w:t xml:space="preserve"> individuals from the priority groups, including:</w:t>
      </w:r>
    </w:p>
    <w:p w14:paraId="75EA60EF" w14:textId="77777777" w:rsidR="00CC248F" w:rsidRPr="00CC248F" w:rsidRDefault="00CC248F" w:rsidP="00CC248F">
      <w:pPr>
        <w:pStyle w:val="Default"/>
        <w:ind w:left="720"/>
        <w:rPr>
          <w:rFonts w:asciiTheme="minorHAnsi" w:hAnsiTheme="minorHAnsi" w:cstheme="minorHAnsi"/>
          <w:sz w:val="22"/>
          <w:szCs w:val="22"/>
        </w:rPr>
      </w:pPr>
    </w:p>
    <w:p w14:paraId="3B95A051" w14:textId="77777777" w:rsidR="00CC248F" w:rsidRPr="00CC248F" w:rsidRDefault="00CC248F" w:rsidP="00CC248F">
      <w:pPr>
        <w:pStyle w:val="Default"/>
        <w:numPr>
          <w:ilvl w:val="0"/>
          <w:numId w:val="3"/>
        </w:numPr>
        <w:ind w:left="1440"/>
        <w:rPr>
          <w:rFonts w:asciiTheme="minorHAnsi" w:hAnsiTheme="minorHAnsi" w:cstheme="minorHAnsi"/>
          <w:sz w:val="22"/>
          <w:szCs w:val="22"/>
        </w:rPr>
      </w:pPr>
      <w:r w:rsidRPr="00CC248F">
        <w:rPr>
          <w:sz w:val="22"/>
          <w:szCs w:val="22"/>
        </w:rPr>
        <w:t>Cross-train staff from different programs to understand other partner programs and to share their expertise about the needs of specific populations, including those most in need, so that all staff can better serve all customers.</w:t>
      </w:r>
    </w:p>
    <w:p w14:paraId="7634280D" w14:textId="77777777" w:rsidR="00CC248F" w:rsidRPr="00CC248F" w:rsidRDefault="00CC248F" w:rsidP="00CC248F">
      <w:pPr>
        <w:pStyle w:val="Default"/>
        <w:numPr>
          <w:ilvl w:val="0"/>
          <w:numId w:val="3"/>
        </w:numPr>
        <w:ind w:left="1440"/>
        <w:rPr>
          <w:rFonts w:asciiTheme="minorHAnsi" w:hAnsiTheme="minorHAnsi" w:cstheme="minorHAnsi"/>
          <w:sz w:val="22"/>
          <w:szCs w:val="22"/>
        </w:rPr>
      </w:pPr>
      <w:r w:rsidRPr="00CC248F">
        <w:rPr>
          <w:sz w:val="22"/>
          <w:szCs w:val="22"/>
        </w:rPr>
        <w:t>Staff the center with career counselors skilled in advising job seekers of their options, who are knowledgeable about local labor market dynamics, aware of available services inside and outside the AJC, and skilled in developing customers’ skills for employment success.</w:t>
      </w:r>
    </w:p>
    <w:p w14:paraId="49F178C0" w14:textId="77777777" w:rsidR="00CC248F" w:rsidRPr="00CC248F" w:rsidRDefault="00CC248F" w:rsidP="00CC248F">
      <w:pPr>
        <w:pStyle w:val="Default"/>
        <w:numPr>
          <w:ilvl w:val="0"/>
          <w:numId w:val="3"/>
        </w:numPr>
        <w:ind w:left="1440"/>
        <w:rPr>
          <w:rFonts w:asciiTheme="minorHAnsi" w:hAnsiTheme="minorHAnsi" w:cstheme="minorHAnsi"/>
          <w:sz w:val="22"/>
          <w:szCs w:val="22"/>
        </w:rPr>
      </w:pPr>
      <w:r w:rsidRPr="00CC248F">
        <w:rPr>
          <w:sz w:val="22"/>
          <w:szCs w:val="22"/>
        </w:rPr>
        <w:t>Develop and implement operational policies that achieve an integrated system of case management, using technology to achieve alignment in service delivery that meets customers’ needs.</w:t>
      </w:r>
    </w:p>
    <w:p w14:paraId="4FB24BAB" w14:textId="77777777" w:rsidR="00CC248F" w:rsidRPr="00CC248F" w:rsidRDefault="00CC248F" w:rsidP="00CC248F">
      <w:pPr>
        <w:pStyle w:val="Default"/>
        <w:numPr>
          <w:ilvl w:val="0"/>
          <w:numId w:val="3"/>
        </w:numPr>
        <w:ind w:left="1440"/>
        <w:rPr>
          <w:rFonts w:asciiTheme="minorHAnsi" w:hAnsiTheme="minorHAnsi" w:cstheme="minorHAnsi"/>
          <w:sz w:val="22"/>
          <w:szCs w:val="22"/>
        </w:rPr>
      </w:pPr>
      <w:r w:rsidRPr="00CC248F">
        <w:rPr>
          <w:sz w:val="22"/>
          <w:szCs w:val="22"/>
        </w:rPr>
        <w:lastRenderedPageBreak/>
        <w:t>Partner across programs, including community-based and philanthropic organizations, to effectively maximize necessary services, including supportive services, to those most in need while minimizing duplicative processes and resource use.</w:t>
      </w:r>
    </w:p>
    <w:p w14:paraId="060DCADF" w14:textId="77777777" w:rsidR="00CC248F" w:rsidRPr="00CC248F" w:rsidRDefault="00CC248F" w:rsidP="00CC248F">
      <w:pPr>
        <w:pStyle w:val="Default"/>
        <w:numPr>
          <w:ilvl w:val="0"/>
          <w:numId w:val="3"/>
        </w:numPr>
        <w:ind w:left="1440"/>
        <w:rPr>
          <w:rFonts w:asciiTheme="minorHAnsi" w:hAnsiTheme="minorHAnsi" w:cstheme="minorHAnsi"/>
          <w:sz w:val="22"/>
          <w:szCs w:val="22"/>
        </w:rPr>
      </w:pPr>
      <w:r w:rsidRPr="00CC248F">
        <w:rPr>
          <w:sz w:val="22"/>
          <w:szCs w:val="22"/>
        </w:rPr>
        <w:t>Develop outreach strategies with partner programs to ensure that those most in need are identified and served. Outreach strategies should include referrals across federal, state, local, community-based organizations, and philanthropic organizations, including those that provide supportive services.</w:t>
      </w:r>
    </w:p>
    <w:p w14:paraId="5A2C8821" w14:textId="77777777" w:rsidR="00CC248F" w:rsidRPr="00CC248F" w:rsidRDefault="00CC248F" w:rsidP="00CC248F">
      <w:pPr>
        <w:pStyle w:val="Default"/>
        <w:numPr>
          <w:ilvl w:val="0"/>
          <w:numId w:val="3"/>
        </w:numPr>
        <w:ind w:left="1440"/>
        <w:rPr>
          <w:rFonts w:asciiTheme="minorHAnsi" w:hAnsiTheme="minorHAnsi" w:cstheme="minorHAnsi"/>
          <w:sz w:val="22"/>
          <w:szCs w:val="22"/>
        </w:rPr>
      </w:pPr>
      <w:r w:rsidRPr="00CC248F">
        <w:rPr>
          <w:sz w:val="22"/>
          <w:szCs w:val="22"/>
        </w:rPr>
        <w:t>Encourage, develop, and implement the use of career pathways for those most in need.</w:t>
      </w:r>
    </w:p>
    <w:p w14:paraId="796F3FE3" w14:textId="77777777" w:rsidR="00CC248F" w:rsidRPr="00CC248F" w:rsidRDefault="00CC248F" w:rsidP="00CC248F">
      <w:pPr>
        <w:pStyle w:val="Default"/>
        <w:ind w:left="720"/>
        <w:rPr>
          <w:rFonts w:asciiTheme="minorHAnsi" w:hAnsiTheme="minorHAnsi" w:cstheme="minorHAnsi"/>
          <w:sz w:val="22"/>
          <w:szCs w:val="22"/>
        </w:rPr>
      </w:pPr>
    </w:p>
    <w:p w14:paraId="3BF2E8DE" w14:textId="322BF430" w:rsidR="00CC248F" w:rsidRPr="00CC248F" w:rsidRDefault="00000000" w:rsidP="00CC248F">
      <w:pPr>
        <w:pStyle w:val="Default"/>
        <w:ind w:left="720"/>
        <w:rPr>
          <w:sz w:val="22"/>
          <w:szCs w:val="22"/>
        </w:rPr>
      </w:pPr>
      <w:hyperlink r:id="rId19" w:history="1">
        <w:r w:rsidR="00CC248F" w:rsidRPr="00CC248F">
          <w:rPr>
            <w:rStyle w:val="Hyperlink"/>
            <w:rFonts w:asciiTheme="minorHAnsi" w:hAnsiTheme="minorHAnsi" w:cstheme="minorHAnsi"/>
            <w:sz w:val="22"/>
            <w:szCs w:val="22"/>
          </w:rPr>
          <w:t>TEGL 7-20</w:t>
        </w:r>
      </w:hyperlink>
      <w:r w:rsidR="00CC248F" w:rsidRPr="00CC248F">
        <w:rPr>
          <w:rFonts w:asciiTheme="minorHAnsi" w:hAnsiTheme="minorHAnsi" w:cstheme="minorHAnsi"/>
          <w:sz w:val="22"/>
          <w:szCs w:val="22"/>
        </w:rPr>
        <w:t xml:space="preserve"> </w:t>
      </w:r>
      <w:r w:rsidR="00CC248F">
        <w:rPr>
          <w:rFonts w:asciiTheme="minorHAnsi" w:hAnsiTheme="minorHAnsi" w:cstheme="minorHAnsi"/>
          <w:sz w:val="22"/>
          <w:szCs w:val="22"/>
        </w:rPr>
        <w:t xml:space="preserve">also </w:t>
      </w:r>
      <w:r w:rsidR="00CC248F" w:rsidRPr="00CC248F">
        <w:rPr>
          <w:sz w:val="22"/>
          <w:szCs w:val="22"/>
        </w:rPr>
        <w:t>gives examples of how different partner programs can help ensure that WIOA Adult program participants from the priority populations receive the services they need, including:</w:t>
      </w:r>
    </w:p>
    <w:p w14:paraId="70DC5ACC" w14:textId="77777777" w:rsidR="00CC248F" w:rsidRPr="00CC248F" w:rsidRDefault="00CC248F" w:rsidP="00CC248F">
      <w:pPr>
        <w:pStyle w:val="Default"/>
        <w:ind w:left="720"/>
        <w:rPr>
          <w:rFonts w:asciiTheme="minorHAnsi" w:hAnsiTheme="minorHAnsi" w:cstheme="minorHAnsi"/>
          <w:sz w:val="22"/>
          <w:szCs w:val="22"/>
        </w:rPr>
      </w:pPr>
    </w:p>
    <w:p w14:paraId="50942F42" w14:textId="77777777" w:rsidR="00CC248F" w:rsidRPr="00CC248F" w:rsidRDefault="00CC248F" w:rsidP="00CC248F">
      <w:pPr>
        <w:pStyle w:val="Default"/>
        <w:numPr>
          <w:ilvl w:val="0"/>
          <w:numId w:val="2"/>
        </w:numPr>
        <w:ind w:left="1440"/>
        <w:rPr>
          <w:rFonts w:asciiTheme="minorHAnsi" w:hAnsiTheme="minorHAnsi" w:cstheme="minorHAnsi"/>
          <w:sz w:val="22"/>
          <w:szCs w:val="22"/>
          <w:u w:val="single"/>
        </w:rPr>
      </w:pPr>
      <w:r w:rsidRPr="00CC248F">
        <w:rPr>
          <w:sz w:val="22"/>
          <w:szCs w:val="22"/>
          <w:u w:val="single"/>
        </w:rPr>
        <w:t xml:space="preserve">WIOA Youth (Title I) </w:t>
      </w:r>
    </w:p>
    <w:p w14:paraId="5FE5C739" w14:textId="77777777" w:rsidR="00CC248F" w:rsidRPr="00CC248F" w:rsidRDefault="00CC248F" w:rsidP="00CC248F">
      <w:pPr>
        <w:pStyle w:val="Default"/>
        <w:ind w:left="1440"/>
        <w:rPr>
          <w:sz w:val="22"/>
          <w:szCs w:val="22"/>
        </w:rPr>
      </w:pPr>
      <w:r w:rsidRPr="00CC248F">
        <w:rPr>
          <w:sz w:val="22"/>
          <w:szCs w:val="22"/>
        </w:rPr>
        <w:t xml:space="preserve">The WIOA Youth program serves both in-school youth (ISY) ages 14-21 and out-of-school youth (OSY) ages 16-24 with barriers to employment. All ISY must be low-income to be eligible for the program. Many OSY must be low-income to be eligible. </w:t>
      </w:r>
    </w:p>
    <w:p w14:paraId="0D18C428" w14:textId="77777777" w:rsidR="00CC248F" w:rsidRPr="00CC248F" w:rsidRDefault="00CC248F" w:rsidP="00CC248F">
      <w:pPr>
        <w:pStyle w:val="Default"/>
        <w:ind w:left="1440"/>
        <w:rPr>
          <w:sz w:val="22"/>
          <w:szCs w:val="22"/>
        </w:rPr>
      </w:pPr>
    </w:p>
    <w:p w14:paraId="0A29DBF8" w14:textId="77777777" w:rsidR="00CC248F" w:rsidRPr="00CC248F" w:rsidRDefault="00CC248F" w:rsidP="00CC248F">
      <w:pPr>
        <w:pStyle w:val="Default"/>
        <w:numPr>
          <w:ilvl w:val="0"/>
          <w:numId w:val="2"/>
        </w:numPr>
        <w:ind w:left="1440"/>
        <w:rPr>
          <w:rFonts w:asciiTheme="minorHAnsi" w:hAnsiTheme="minorHAnsi" w:cstheme="minorHAnsi"/>
          <w:sz w:val="22"/>
          <w:szCs w:val="22"/>
          <w:u w:val="single"/>
        </w:rPr>
      </w:pPr>
      <w:r w:rsidRPr="00CC248F">
        <w:rPr>
          <w:sz w:val="22"/>
          <w:szCs w:val="22"/>
          <w:u w:val="single"/>
        </w:rPr>
        <w:t>Temporary Assistance for Needy Families (TANF)-Wisconsin Works (W-2)</w:t>
      </w:r>
    </w:p>
    <w:p w14:paraId="02E87DBB" w14:textId="77777777" w:rsidR="00CC248F" w:rsidRPr="00CC248F" w:rsidRDefault="00CC248F" w:rsidP="00CC248F">
      <w:pPr>
        <w:pStyle w:val="Default"/>
        <w:ind w:left="1440"/>
        <w:rPr>
          <w:sz w:val="22"/>
          <w:szCs w:val="22"/>
        </w:rPr>
      </w:pPr>
      <w:r w:rsidRPr="00CC248F">
        <w:rPr>
          <w:sz w:val="22"/>
          <w:szCs w:val="22"/>
        </w:rPr>
        <w:t>The TANF program is a required partner in AJCs, and in addition to cash assistance, can provide multiple supports for the priority populations in the WIOA Adult program. By closely partnering with the TANF program, the workforce system can help TANF participants obtain the skills they need to achieve self-sufficiency.</w:t>
      </w:r>
    </w:p>
    <w:p w14:paraId="2C2C3119" w14:textId="77777777" w:rsidR="00CC248F" w:rsidRPr="00CC248F" w:rsidRDefault="00CC248F" w:rsidP="00CC248F">
      <w:pPr>
        <w:pStyle w:val="Default"/>
        <w:ind w:left="1440"/>
        <w:rPr>
          <w:sz w:val="22"/>
          <w:szCs w:val="22"/>
        </w:rPr>
      </w:pPr>
    </w:p>
    <w:p w14:paraId="36644E79" w14:textId="77777777" w:rsidR="00CC248F" w:rsidRPr="00CC248F" w:rsidRDefault="00CC248F" w:rsidP="00CC248F">
      <w:pPr>
        <w:pStyle w:val="Default"/>
        <w:ind w:left="1440"/>
        <w:rPr>
          <w:sz w:val="22"/>
          <w:szCs w:val="22"/>
        </w:rPr>
      </w:pPr>
      <w:r w:rsidRPr="00CC248F">
        <w:rPr>
          <w:sz w:val="22"/>
          <w:szCs w:val="22"/>
        </w:rPr>
        <w:t xml:space="preserve">Wisconsin contact information: </w:t>
      </w:r>
      <w:hyperlink r:id="rId20" w:history="1">
        <w:r w:rsidRPr="00CC248F">
          <w:rPr>
            <w:rStyle w:val="Hyperlink"/>
            <w:sz w:val="22"/>
            <w:szCs w:val="22"/>
          </w:rPr>
          <w:t>https://dcf.wisconsin.gov/w2/parents/locator</w:t>
        </w:r>
      </w:hyperlink>
    </w:p>
    <w:p w14:paraId="41233FE3" w14:textId="77777777" w:rsidR="00CC248F" w:rsidRPr="00CC248F" w:rsidRDefault="00CC248F" w:rsidP="00CC248F">
      <w:pPr>
        <w:pStyle w:val="Default"/>
        <w:ind w:left="1440"/>
        <w:rPr>
          <w:sz w:val="22"/>
          <w:szCs w:val="22"/>
        </w:rPr>
      </w:pPr>
    </w:p>
    <w:p w14:paraId="0056CFB2" w14:textId="77777777" w:rsidR="00CC248F" w:rsidRPr="00CC248F" w:rsidRDefault="00CC248F" w:rsidP="00CC248F">
      <w:pPr>
        <w:pStyle w:val="Default"/>
        <w:numPr>
          <w:ilvl w:val="0"/>
          <w:numId w:val="2"/>
        </w:numPr>
        <w:ind w:left="1440"/>
        <w:rPr>
          <w:sz w:val="22"/>
          <w:szCs w:val="22"/>
          <w:u w:val="single"/>
        </w:rPr>
      </w:pPr>
      <w:r w:rsidRPr="00CC248F">
        <w:rPr>
          <w:sz w:val="22"/>
          <w:szCs w:val="22"/>
          <w:u w:val="single"/>
        </w:rPr>
        <w:t>Supplemental Nutrition Assistance Program (SNAP)—Foodshare (FSET)</w:t>
      </w:r>
    </w:p>
    <w:p w14:paraId="1D6A862E" w14:textId="77777777" w:rsidR="00CC248F" w:rsidRPr="00CC248F" w:rsidRDefault="00CC248F" w:rsidP="00CC248F">
      <w:pPr>
        <w:pStyle w:val="Default"/>
        <w:ind w:left="1440"/>
        <w:rPr>
          <w:sz w:val="22"/>
          <w:szCs w:val="22"/>
        </w:rPr>
      </w:pPr>
      <w:r w:rsidRPr="00CC248F">
        <w:rPr>
          <w:sz w:val="22"/>
          <w:szCs w:val="22"/>
        </w:rPr>
        <w:t>SNAP offers nutrition assistance to millions of eligible, low-income individuals and families while providing economic benefits to communities, and also can provide support to recipients to enter and stay in employment.</w:t>
      </w:r>
    </w:p>
    <w:p w14:paraId="1AAA5421" w14:textId="77777777" w:rsidR="00CC248F" w:rsidRPr="00CC248F" w:rsidRDefault="00CC248F" w:rsidP="00CC248F">
      <w:pPr>
        <w:pStyle w:val="Default"/>
        <w:ind w:left="1440"/>
        <w:rPr>
          <w:sz w:val="22"/>
          <w:szCs w:val="22"/>
        </w:rPr>
      </w:pPr>
    </w:p>
    <w:p w14:paraId="136A2772" w14:textId="77777777" w:rsidR="00CC248F" w:rsidRPr="00CC248F" w:rsidRDefault="00CC248F" w:rsidP="00CC248F">
      <w:pPr>
        <w:pStyle w:val="Default"/>
        <w:ind w:left="1440"/>
        <w:rPr>
          <w:sz w:val="22"/>
          <w:szCs w:val="22"/>
        </w:rPr>
      </w:pPr>
      <w:r w:rsidRPr="00CC248F">
        <w:rPr>
          <w:sz w:val="22"/>
          <w:szCs w:val="22"/>
        </w:rPr>
        <w:t xml:space="preserve">Wisconsin contact information: </w:t>
      </w:r>
      <w:hyperlink r:id="rId21" w:history="1">
        <w:r w:rsidRPr="00CC248F">
          <w:rPr>
            <w:rStyle w:val="Hyperlink"/>
            <w:sz w:val="22"/>
            <w:szCs w:val="22"/>
          </w:rPr>
          <w:t>https://dhs.wisconsin.gov/fset/fset-regions.htm</w:t>
        </w:r>
      </w:hyperlink>
    </w:p>
    <w:p w14:paraId="6A77EF64" w14:textId="77777777" w:rsidR="00CC248F" w:rsidRPr="00CC248F" w:rsidRDefault="00CC248F" w:rsidP="00CC248F">
      <w:pPr>
        <w:pStyle w:val="Default"/>
        <w:ind w:left="1440"/>
        <w:rPr>
          <w:sz w:val="22"/>
          <w:szCs w:val="22"/>
        </w:rPr>
      </w:pPr>
      <w:r w:rsidRPr="00CC248F">
        <w:rPr>
          <w:sz w:val="22"/>
          <w:szCs w:val="22"/>
        </w:rPr>
        <w:t xml:space="preserve"> </w:t>
      </w:r>
    </w:p>
    <w:p w14:paraId="1627CB43" w14:textId="77777777" w:rsidR="00CC248F" w:rsidRPr="00CC248F" w:rsidRDefault="00CC248F" w:rsidP="00CC248F">
      <w:pPr>
        <w:pStyle w:val="Default"/>
        <w:numPr>
          <w:ilvl w:val="0"/>
          <w:numId w:val="2"/>
        </w:numPr>
        <w:ind w:left="1440"/>
        <w:rPr>
          <w:sz w:val="22"/>
          <w:szCs w:val="22"/>
          <w:u w:val="single"/>
        </w:rPr>
      </w:pPr>
      <w:r w:rsidRPr="00CC248F">
        <w:rPr>
          <w:sz w:val="22"/>
          <w:szCs w:val="22"/>
          <w:u w:val="single"/>
        </w:rPr>
        <w:t>Adult Education and Family Literacy Act (AEFLA)</w:t>
      </w:r>
    </w:p>
    <w:p w14:paraId="0FAD8D74" w14:textId="77777777" w:rsidR="00CC248F" w:rsidRPr="00CC248F" w:rsidRDefault="00CC248F" w:rsidP="00CC248F">
      <w:pPr>
        <w:pStyle w:val="Default"/>
        <w:ind w:left="1440"/>
        <w:rPr>
          <w:sz w:val="22"/>
          <w:szCs w:val="22"/>
        </w:rPr>
      </w:pPr>
      <w:r w:rsidRPr="00CC248F">
        <w:rPr>
          <w:sz w:val="22"/>
          <w:szCs w:val="22"/>
        </w:rPr>
        <w:t>AEFLA serves adults who are over 16 years of age and who are not enrolled or not required to be enrolled in school under a state’s compulsory school laws. Participants are basic skills-deficient, English language learners, or without a high school diploma or its equivalent. A large percentage of participants are low-income.</w:t>
      </w:r>
    </w:p>
    <w:p w14:paraId="101852E4" w14:textId="77777777" w:rsidR="00CC248F" w:rsidRPr="00CC248F" w:rsidRDefault="00CC248F" w:rsidP="00CC248F">
      <w:pPr>
        <w:pStyle w:val="Default"/>
        <w:ind w:left="1440"/>
        <w:rPr>
          <w:sz w:val="22"/>
          <w:szCs w:val="22"/>
        </w:rPr>
      </w:pPr>
    </w:p>
    <w:p w14:paraId="1030ADB4" w14:textId="77777777" w:rsidR="00CC248F" w:rsidRPr="00CC248F" w:rsidRDefault="00CC248F" w:rsidP="00CC248F">
      <w:pPr>
        <w:pStyle w:val="Default"/>
        <w:ind w:left="1440"/>
        <w:rPr>
          <w:sz w:val="22"/>
          <w:szCs w:val="22"/>
        </w:rPr>
      </w:pPr>
      <w:r w:rsidRPr="00CC248F">
        <w:rPr>
          <w:sz w:val="22"/>
          <w:szCs w:val="22"/>
        </w:rPr>
        <w:t xml:space="preserve">Wisconsin Technical College contact information: </w:t>
      </w:r>
      <w:hyperlink r:id="rId22" w:history="1">
        <w:r w:rsidRPr="00CC248F">
          <w:rPr>
            <w:rStyle w:val="Hyperlink"/>
            <w:sz w:val="22"/>
            <w:szCs w:val="22"/>
          </w:rPr>
          <w:t>https://www.wtcsystem.edu/colleges/</w:t>
        </w:r>
      </w:hyperlink>
    </w:p>
    <w:p w14:paraId="368480B2" w14:textId="77777777" w:rsidR="00CC248F" w:rsidRPr="00CC248F" w:rsidRDefault="00CC248F" w:rsidP="00CC248F">
      <w:pPr>
        <w:pStyle w:val="Default"/>
        <w:ind w:left="1440"/>
        <w:rPr>
          <w:sz w:val="22"/>
          <w:szCs w:val="22"/>
        </w:rPr>
      </w:pPr>
    </w:p>
    <w:p w14:paraId="144A103F" w14:textId="77777777" w:rsidR="00CC248F" w:rsidRPr="00CC248F" w:rsidRDefault="00CC248F" w:rsidP="00CC248F">
      <w:pPr>
        <w:pStyle w:val="Default"/>
        <w:numPr>
          <w:ilvl w:val="0"/>
          <w:numId w:val="2"/>
        </w:numPr>
        <w:ind w:left="1440"/>
        <w:rPr>
          <w:sz w:val="22"/>
          <w:szCs w:val="22"/>
          <w:u w:val="single"/>
        </w:rPr>
      </w:pPr>
      <w:r w:rsidRPr="00CC248F">
        <w:rPr>
          <w:sz w:val="22"/>
          <w:szCs w:val="22"/>
          <w:u w:val="single"/>
        </w:rPr>
        <w:t>Community Service Block Grant</w:t>
      </w:r>
    </w:p>
    <w:p w14:paraId="785E03B8" w14:textId="77777777" w:rsidR="00CC248F" w:rsidRPr="00CC248F" w:rsidRDefault="00CC248F" w:rsidP="00CC248F">
      <w:pPr>
        <w:pStyle w:val="Default"/>
        <w:ind w:left="1440"/>
        <w:rPr>
          <w:sz w:val="22"/>
          <w:szCs w:val="22"/>
        </w:rPr>
      </w:pPr>
      <w:r w:rsidRPr="00CC248F">
        <w:rPr>
          <w:sz w:val="22"/>
          <w:szCs w:val="22"/>
        </w:rPr>
        <w:t>As a WIOA partner program, the Community Service Block Grant (CSBG) is another program that can integrate with the WIOA Adult program to serve and support low- 9 income individuals and families.</w:t>
      </w:r>
    </w:p>
    <w:p w14:paraId="49C1AAF2" w14:textId="77777777" w:rsidR="00CC248F" w:rsidRPr="00CC248F" w:rsidRDefault="00CC248F" w:rsidP="00CC248F">
      <w:pPr>
        <w:pStyle w:val="Default"/>
        <w:ind w:left="1440"/>
        <w:rPr>
          <w:sz w:val="22"/>
          <w:szCs w:val="22"/>
        </w:rPr>
      </w:pPr>
    </w:p>
    <w:p w14:paraId="25C7DE8E" w14:textId="77777777" w:rsidR="00CC248F" w:rsidRPr="00CC248F" w:rsidRDefault="00CC248F" w:rsidP="00CC248F">
      <w:pPr>
        <w:pStyle w:val="Default"/>
        <w:ind w:left="1440"/>
        <w:rPr>
          <w:sz w:val="22"/>
          <w:szCs w:val="22"/>
        </w:rPr>
      </w:pPr>
      <w:r w:rsidRPr="00CC248F">
        <w:rPr>
          <w:sz w:val="22"/>
          <w:szCs w:val="22"/>
        </w:rPr>
        <w:t xml:space="preserve">Wisconsin contact information: </w:t>
      </w:r>
      <w:hyperlink r:id="rId23" w:history="1">
        <w:r w:rsidRPr="00CC248F">
          <w:rPr>
            <w:rStyle w:val="Hyperlink"/>
            <w:sz w:val="22"/>
            <w:szCs w:val="22"/>
          </w:rPr>
          <w:t>https://www.wiscap.org/</w:t>
        </w:r>
      </w:hyperlink>
    </w:p>
    <w:p w14:paraId="7FB1C2DA" w14:textId="77777777" w:rsidR="00CC248F" w:rsidRPr="00CC248F" w:rsidRDefault="00CC248F" w:rsidP="00CC248F">
      <w:pPr>
        <w:pStyle w:val="Default"/>
        <w:ind w:left="1440"/>
        <w:rPr>
          <w:sz w:val="22"/>
          <w:szCs w:val="22"/>
        </w:rPr>
      </w:pPr>
    </w:p>
    <w:p w14:paraId="618D1A28" w14:textId="77777777" w:rsidR="00CC248F" w:rsidRPr="00CC248F" w:rsidRDefault="00CC248F" w:rsidP="00CC248F">
      <w:pPr>
        <w:pStyle w:val="Default"/>
        <w:numPr>
          <w:ilvl w:val="0"/>
          <w:numId w:val="2"/>
        </w:numPr>
        <w:ind w:left="1440"/>
        <w:rPr>
          <w:sz w:val="22"/>
          <w:szCs w:val="22"/>
          <w:u w:val="single"/>
        </w:rPr>
      </w:pPr>
      <w:r w:rsidRPr="00CC248F">
        <w:rPr>
          <w:sz w:val="22"/>
          <w:szCs w:val="22"/>
          <w:u w:val="single"/>
        </w:rPr>
        <w:t>Continuum of Care (CoC) Program</w:t>
      </w:r>
    </w:p>
    <w:p w14:paraId="7D315F32" w14:textId="77777777" w:rsidR="00CC248F" w:rsidRPr="00CC248F" w:rsidRDefault="00CC248F" w:rsidP="00CC248F">
      <w:pPr>
        <w:pStyle w:val="Default"/>
        <w:ind w:left="1440"/>
        <w:rPr>
          <w:sz w:val="22"/>
          <w:szCs w:val="22"/>
        </w:rPr>
      </w:pPr>
      <w:r w:rsidRPr="00CC248F">
        <w:rPr>
          <w:sz w:val="22"/>
          <w:szCs w:val="22"/>
        </w:rPr>
        <w:t xml:space="preserve">HUD’s Continuum of Care (CoC) Program is designed to promote community-wide commitment to the goal of ending homelessness; provide funding for efforts by nonprofit providers and state and local governments to quickly rehouse homeless individuals and families while minimizing the trauma and dislocation caused to homeless individuals, families, and communities by homelessness; promote access to and effect utilization of mainstream programs by homeless individuals and families; and optimize self-sufficiency among individuals and families experiencing homelessness. </w:t>
      </w:r>
    </w:p>
    <w:p w14:paraId="6A1E0C3B" w14:textId="77777777" w:rsidR="00CC248F" w:rsidRPr="00CC248F" w:rsidRDefault="00CC248F" w:rsidP="00CC248F">
      <w:pPr>
        <w:pStyle w:val="Default"/>
        <w:ind w:left="1440"/>
        <w:rPr>
          <w:sz w:val="22"/>
          <w:szCs w:val="22"/>
        </w:rPr>
      </w:pPr>
    </w:p>
    <w:p w14:paraId="1DC81212" w14:textId="77777777" w:rsidR="00CC248F" w:rsidRPr="00CC248F" w:rsidRDefault="00CC248F" w:rsidP="00CC248F">
      <w:pPr>
        <w:pStyle w:val="Default"/>
        <w:ind w:left="1440"/>
        <w:rPr>
          <w:sz w:val="22"/>
          <w:szCs w:val="22"/>
        </w:rPr>
      </w:pPr>
      <w:r w:rsidRPr="00CC248F">
        <w:rPr>
          <w:sz w:val="22"/>
          <w:szCs w:val="22"/>
        </w:rPr>
        <w:lastRenderedPageBreak/>
        <w:t xml:space="preserve">Wisconsin contact information: </w:t>
      </w:r>
      <w:hyperlink r:id="rId24" w:history="1">
        <w:r w:rsidRPr="00CC248F">
          <w:rPr>
            <w:rStyle w:val="Hyperlink"/>
            <w:sz w:val="22"/>
            <w:szCs w:val="22"/>
          </w:rPr>
          <w:t>https://www.hud.gov/states/wisconsin/working/cpd/coccontacts</w:t>
        </w:r>
      </w:hyperlink>
    </w:p>
    <w:p w14:paraId="3006A9D6" w14:textId="77777777" w:rsidR="009A0221" w:rsidRDefault="009A0221" w:rsidP="009A0221"/>
    <w:p w14:paraId="344877D9" w14:textId="77777777" w:rsidR="00CE7299" w:rsidRPr="00CE7299" w:rsidRDefault="00CE7299" w:rsidP="00CE7299">
      <w:pPr>
        <w:ind w:left="720"/>
      </w:pPr>
    </w:p>
    <w:p w14:paraId="15D17030" w14:textId="1B62D736" w:rsidR="00CE7299" w:rsidRDefault="00CE7299" w:rsidP="00CE7299"/>
    <w:p w14:paraId="39E6EBF0" w14:textId="77777777" w:rsidR="00CE7299" w:rsidRPr="00D366AC" w:rsidRDefault="00CE7299" w:rsidP="00CE7299"/>
    <w:sectPr w:rsidR="00CE7299" w:rsidRPr="00D366AC" w:rsidSect="008475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26F2D"/>
    <w:multiLevelType w:val="hybridMultilevel"/>
    <w:tmpl w:val="3C6EB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646D89"/>
    <w:multiLevelType w:val="hybridMultilevel"/>
    <w:tmpl w:val="67EE8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8947D9"/>
    <w:multiLevelType w:val="hybridMultilevel"/>
    <w:tmpl w:val="66DA3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603645">
    <w:abstractNumId w:val="2"/>
  </w:num>
  <w:num w:numId="2" w16cid:durableId="448478705">
    <w:abstractNumId w:val="1"/>
  </w:num>
  <w:num w:numId="3" w16cid:durableId="20822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Y0M7Q0MrM0MLM0MTJU0lEKTi0uzszPAymwqAUAamngeCwAAAA="/>
  </w:docVars>
  <w:rsids>
    <w:rsidRoot w:val="008475F3"/>
    <w:rsid w:val="00091C3A"/>
    <w:rsid w:val="000A593D"/>
    <w:rsid w:val="000C1C23"/>
    <w:rsid w:val="000E11F7"/>
    <w:rsid w:val="00112F64"/>
    <w:rsid w:val="0013222C"/>
    <w:rsid w:val="001846F4"/>
    <w:rsid w:val="001A6860"/>
    <w:rsid w:val="001D5D98"/>
    <w:rsid w:val="001D7AA2"/>
    <w:rsid w:val="001E324A"/>
    <w:rsid w:val="002254FB"/>
    <w:rsid w:val="00230816"/>
    <w:rsid w:val="002602D0"/>
    <w:rsid w:val="00280317"/>
    <w:rsid w:val="0028073F"/>
    <w:rsid w:val="002E4F3E"/>
    <w:rsid w:val="0034775F"/>
    <w:rsid w:val="00357662"/>
    <w:rsid w:val="00392732"/>
    <w:rsid w:val="0040309B"/>
    <w:rsid w:val="00415E48"/>
    <w:rsid w:val="00422B50"/>
    <w:rsid w:val="00455E43"/>
    <w:rsid w:val="004B12C1"/>
    <w:rsid w:val="004B409B"/>
    <w:rsid w:val="004C48E1"/>
    <w:rsid w:val="00537FA4"/>
    <w:rsid w:val="00540D7C"/>
    <w:rsid w:val="006011AF"/>
    <w:rsid w:val="006055CB"/>
    <w:rsid w:val="00616666"/>
    <w:rsid w:val="006209A0"/>
    <w:rsid w:val="00671A80"/>
    <w:rsid w:val="00673445"/>
    <w:rsid w:val="006A242B"/>
    <w:rsid w:val="006D1016"/>
    <w:rsid w:val="006E0D18"/>
    <w:rsid w:val="00743278"/>
    <w:rsid w:val="00766E96"/>
    <w:rsid w:val="007B2279"/>
    <w:rsid w:val="007D1DAA"/>
    <w:rsid w:val="007D288B"/>
    <w:rsid w:val="008475F3"/>
    <w:rsid w:val="008A51F3"/>
    <w:rsid w:val="00910A2B"/>
    <w:rsid w:val="00983A26"/>
    <w:rsid w:val="009A0221"/>
    <w:rsid w:val="009D2679"/>
    <w:rsid w:val="00A143AD"/>
    <w:rsid w:val="00A51717"/>
    <w:rsid w:val="00A62387"/>
    <w:rsid w:val="00A70D56"/>
    <w:rsid w:val="00AD7B08"/>
    <w:rsid w:val="00B07AB8"/>
    <w:rsid w:val="00B37061"/>
    <w:rsid w:val="00BC1167"/>
    <w:rsid w:val="00BC3C1E"/>
    <w:rsid w:val="00C2523E"/>
    <w:rsid w:val="00C622A3"/>
    <w:rsid w:val="00C76469"/>
    <w:rsid w:val="00CB3422"/>
    <w:rsid w:val="00CC248F"/>
    <w:rsid w:val="00CE7299"/>
    <w:rsid w:val="00D10BF5"/>
    <w:rsid w:val="00D366AC"/>
    <w:rsid w:val="00DB59DA"/>
    <w:rsid w:val="00DC6E9B"/>
    <w:rsid w:val="00E67498"/>
    <w:rsid w:val="00E75D55"/>
    <w:rsid w:val="00ED7111"/>
    <w:rsid w:val="00FA76F3"/>
    <w:rsid w:val="00FE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84FC"/>
  <w15:chartTrackingRefBased/>
  <w15:docId w15:val="{4C2097E9-EF09-4AE8-9DA1-6D00D8B5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style>
  <w:style w:type="paragraph" w:styleId="Heading1">
    <w:name w:val="heading 1"/>
    <w:basedOn w:val="Normal"/>
    <w:next w:val="Normal"/>
    <w:link w:val="Heading1Char"/>
    <w:uiPriority w:val="9"/>
    <w:qFormat/>
    <w:rsid w:val="008475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475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5F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475F3"/>
    <w:pPr>
      <w:ind w:left="720"/>
      <w:contextualSpacing/>
    </w:pPr>
  </w:style>
  <w:style w:type="character" w:customStyle="1" w:styleId="Heading2Char">
    <w:name w:val="Heading 2 Char"/>
    <w:basedOn w:val="DefaultParagraphFont"/>
    <w:link w:val="Heading2"/>
    <w:uiPriority w:val="9"/>
    <w:rsid w:val="008475F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055CB"/>
    <w:rPr>
      <w:color w:val="0000FF" w:themeColor="hyperlink"/>
      <w:u w:val="single"/>
    </w:rPr>
  </w:style>
  <w:style w:type="character" w:styleId="UnresolvedMention">
    <w:name w:val="Unresolved Mention"/>
    <w:basedOn w:val="DefaultParagraphFont"/>
    <w:uiPriority w:val="99"/>
    <w:semiHidden/>
    <w:unhideWhenUsed/>
    <w:rsid w:val="00B37061"/>
    <w:rPr>
      <w:color w:val="605E5C"/>
      <w:shd w:val="clear" w:color="auto" w:fill="E1DFDD"/>
    </w:rPr>
  </w:style>
  <w:style w:type="paragraph" w:customStyle="1" w:styleId="Default">
    <w:name w:val="Default"/>
    <w:rsid w:val="00CC248F"/>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B3422"/>
    <w:rPr>
      <w:color w:val="800080" w:themeColor="followedHyperlink"/>
      <w:u w:val="single"/>
    </w:rPr>
  </w:style>
  <w:style w:type="character" w:styleId="CommentReference">
    <w:name w:val="annotation reference"/>
    <w:basedOn w:val="DefaultParagraphFont"/>
    <w:uiPriority w:val="99"/>
    <w:semiHidden/>
    <w:unhideWhenUsed/>
    <w:rsid w:val="00A143AD"/>
    <w:rPr>
      <w:sz w:val="16"/>
      <w:szCs w:val="16"/>
    </w:rPr>
  </w:style>
  <w:style w:type="paragraph" w:styleId="CommentText">
    <w:name w:val="annotation text"/>
    <w:basedOn w:val="Normal"/>
    <w:link w:val="CommentTextChar"/>
    <w:uiPriority w:val="99"/>
    <w:semiHidden/>
    <w:unhideWhenUsed/>
    <w:rsid w:val="00A143AD"/>
    <w:rPr>
      <w:sz w:val="20"/>
    </w:rPr>
  </w:style>
  <w:style w:type="character" w:customStyle="1" w:styleId="CommentTextChar">
    <w:name w:val="Comment Text Char"/>
    <w:basedOn w:val="DefaultParagraphFont"/>
    <w:link w:val="CommentText"/>
    <w:uiPriority w:val="99"/>
    <w:semiHidden/>
    <w:rsid w:val="00A143AD"/>
    <w:rPr>
      <w:sz w:val="20"/>
    </w:rPr>
  </w:style>
  <w:style w:type="paragraph" w:styleId="CommentSubject">
    <w:name w:val="annotation subject"/>
    <w:basedOn w:val="CommentText"/>
    <w:next w:val="CommentText"/>
    <w:link w:val="CommentSubjectChar"/>
    <w:uiPriority w:val="99"/>
    <w:semiHidden/>
    <w:unhideWhenUsed/>
    <w:rsid w:val="00A143AD"/>
    <w:rPr>
      <w:b/>
      <w:bCs/>
    </w:rPr>
  </w:style>
  <w:style w:type="character" w:customStyle="1" w:styleId="CommentSubjectChar">
    <w:name w:val="Comment Subject Char"/>
    <w:basedOn w:val="CommentTextChar"/>
    <w:link w:val="CommentSubject"/>
    <w:uiPriority w:val="99"/>
    <w:semiHidden/>
    <w:rsid w:val="00A143AD"/>
    <w:rPr>
      <w:b/>
      <w:bCs/>
      <w:sz w:val="20"/>
    </w:rPr>
  </w:style>
  <w:style w:type="paragraph" w:styleId="Revision">
    <w:name w:val="Revision"/>
    <w:hidden/>
    <w:uiPriority w:val="99"/>
    <w:semiHidden/>
    <w:rsid w:val="00A14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sites/dolgov/files/ETA/advisories/TEGL/2020/TEGL_7-20.pdf" TargetMode="External"/><Relationship Id="rId13" Type="http://schemas.openxmlformats.org/officeDocument/2006/relationships/hyperlink" Target="https://www.dol.gov/sites/dolgov/files/ETA/advisories/TEGL/2020/TEGL_7-20.pdf" TargetMode="External"/><Relationship Id="rId18" Type="http://schemas.openxmlformats.org/officeDocument/2006/relationships/hyperlink" Target="https://www.dol.gov/sites/dolgov/files/ETA/advisories/TEGL/2020/TEGL_7-2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hs.wisconsin.gov/fset/fset-regions.htm" TargetMode="External"/><Relationship Id="rId7" Type="http://schemas.openxmlformats.org/officeDocument/2006/relationships/hyperlink" Target="https://dwd.wisconsin.gov/wioa/policy/08/08.2.htm" TargetMode="External"/><Relationship Id="rId12" Type="http://schemas.openxmlformats.org/officeDocument/2006/relationships/hyperlink" Target="https://dwd.wisconsin.gov/wioa/policy/appendices/A.5.htm" TargetMode="External"/><Relationship Id="rId17" Type="http://schemas.openxmlformats.org/officeDocument/2006/relationships/hyperlink" Target="https://www.dol.gov/sites/dolgov/files/ETA/advisories/TEGL/2020/TEGL_7-2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ol.gov/sites/dolgov/files/ETA/advisories/TEGL/2020/TEGL_7-20.pdf" TargetMode="External"/><Relationship Id="rId20" Type="http://schemas.openxmlformats.org/officeDocument/2006/relationships/hyperlink" Target="https://dcf.wisconsin.gov/w2/parents/locator" TargetMode="External"/><Relationship Id="rId1" Type="http://schemas.openxmlformats.org/officeDocument/2006/relationships/customXml" Target="../customXml/item1.xml"/><Relationship Id="rId6" Type="http://schemas.openxmlformats.org/officeDocument/2006/relationships/hyperlink" Target="https://dwd.wisconsin.gov/wioa/policy/appendices/A.5.htm" TargetMode="External"/><Relationship Id="rId11" Type="http://schemas.openxmlformats.org/officeDocument/2006/relationships/hyperlink" Target="https://dwd.wisconsin.gov/wioa/policy/08/08.3.htm" TargetMode="External"/><Relationship Id="rId24" Type="http://schemas.openxmlformats.org/officeDocument/2006/relationships/hyperlink" Target="https://www.hud.gov/states/wisconsin/working/cpd/coccontacts" TargetMode="External"/><Relationship Id="rId5" Type="http://schemas.openxmlformats.org/officeDocument/2006/relationships/webSettings" Target="webSettings.xml"/><Relationship Id="rId15" Type="http://schemas.openxmlformats.org/officeDocument/2006/relationships/hyperlink" Target="https://dwd.wisconsin.gov/wioa/policy/08/08.5.htm" TargetMode="External"/><Relationship Id="rId23" Type="http://schemas.openxmlformats.org/officeDocument/2006/relationships/hyperlink" Target="https://www.wiscap.org/" TargetMode="External"/><Relationship Id="rId10" Type="http://schemas.openxmlformats.org/officeDocument/2006/relationships/hyperlink" Target="https://dwd.wisconsin.gov/wioa/policy/08/08.5.htm" TargetMode="External"/><Relationship Id="rId19" Type="http://schemas.openxmlformats.org/officeDocument/2006/relationships/hyperlink" Target="https://www.dol.gov/sites/dolgov/files/ETA/advisories/TEGL/2020/TEGL_7-20.pdf" TargetMode="External"/><Relationship Id="rId4" Type="http://schemas.openxmlformats.org/officeDocument/2006/relationships/settings" Target="settings.xml"/><Relationship Id="rId9" Type="http://schemas.openxmlformats.org/officeDocument/2006/relationships/hyperlink" Target="https://dwd.wisconsin.gov/wioa/policy/appendices/A.5.htm" TargetMode="External"/><Relationship Id="rId14" Type="http://schemas.openxmlformats.org/officeDocument/2006/relationships/hyperlink" Target="https://dwd.wisconsin.gov/wioa/policy/08/08.2.htm" TargetMode="External"/><Relationship Id="rId22" Type="http://schemas.openxmlformats.org/officeDocument/2006/relationships/hyperlink" Target="https://www.wtcsystem.edu/colle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98337-811B-4A34-9492-0BCB7A40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Kujawa, Zoe M - DWD</dc:creator>
  <cp:keywords/>
  <dc:description/>
  <cp:lastModifiedBy>Kujawa, Zoe M - DWD</cp:lastModifiedBy>
  <cp:revision>17</cp:revision>
  <dcterms:created xsi:type="dcterms:W3CDTF">2023-03-27T15:10:00Z</dcterms:created>
  <dcterms:modified xsi:type="dcterms:W3CDTF">2023-05-17T20:25:00Z</dcterms:modified>
</cp:coreProperties>
</file>